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AA4893">
      <w:pPr>
        <w:pStyle w:val="32"/>
        <w:rPr>
          <w:lang w:eastAsia="zh-CN"/>
        </w:rPr>
      </w:pPr>
      <w:r>
        <w:rPr>
          <w:rFonts w:ascii="Times New Roman" w:hAnsi="Times New Roman" w:eastAsia="黑体"/>
          <w:lang w:eastAsia="zh-CN"/>
        </w:rPr>
        <w:t>环境产业“智能+场景”应用优秀案例</w:t>
      </w:r>
    </w:p>
    <w:p w14:paraId="34C6148B">
      <w:pPr>
        <w:jc w:val="center"/>
        <w:rPr>
          <w:lang w:eastAsia="zh-CN"/>
        </w:rPr>
      </w:pPr>
      <w:r>
        <w:rPr>
          <w:rFonts w:hint="eastAsia" w:eastAsia="黑体"/>
          <w:b/>
          <w:color w:val="1F7A4D"/>
          <w:sz w:val="30"/>
          <w:lang w:eastAsia="zh-CN"/>
        </w:rPr>
        <w:t>征集函</w:t>
      </w:r>
    </w:p>
    <w:p w14:paraId="0DA748B6">
      <w:pPr>
        <w:rPr>
          <w:color w:val="0D0D0D" w:themeColor="text1" w:themeTint="F2"/>
          <w:sz w:val="22"/>
          <w:lang w:eastAsia="zh-CN"/>
          <w14:textFill>
            <w14:solidFill>
              <w14:schemeClr w14:val="tx1">
                <w14:lumMod w14:val="95000"/>
                <w14:lumOff w14:val="5000"/>
              </w14:schemeClr>
            </w14:solidFill>
          </w14:textFill>
        </w:rPr>
      </w:pPr>
      <w:r>
        <w:rPr>
          <w:rFonts w:hint="eastAsia"/>
          <w:color w:val="0D0D0D" w:themeColor="text1" w:themeTint="F2"/>
          <w:sz w:val="22"/>
          <w:lang w:eastAsia="zh-CN"/>
          <w14:textFill>
            <w14:solidFill>
              <w14:schemeClr w14:val="tx1">
                <w14:lumMod w14:val="95000"/>
                <w14:lumOff w14:val="5000"/>
              </w14:schemeClr>
            </w14:solidFill>
          </w14:textFill>
        </w:rPr>
        <w:t>环境产业优秀企业</w:t>
      </w:r>
      <w:r>
        <w:rPr>
          <w:color w:val="0D0D0D" w:themeColor="text1" w:themeTint="F2"/>
          <w:sz w:val="22"/>
          <w:lang w:eastAsia="zh-CN"/>
          <w14:textFill>
            <w14:solidFill>
              <w14:schemeClr w14:val="tx1">
                <w14:lumMod w14:val="95000"/>
                <w14:lumOff w14:val="5000"/>
              </w14:schemeClr>
            </w14:solidFill>
          </w14:textFill>
        </w:rPr>
        <w:t>：</w:t>
      </w:r>
    </w:p>
    <w:p w14:paraId="2BC91FC9">
      <w:pPr>
        <w:ind w:firstLine="480"/>
        <w:rPr>
          <w:color w:val="0D0D0D" w:themeColor="text1" w:themeTint="F2"/>
          <w:sz w:val="22"/>
          <w:lang w:eastAsia="zh-CN"/>
          <w14:textFill>
            <w14:solidFill>
              <w14:schemeClr w14:val="tx1">
                <w14:lumMod w14:val="95000"/>
                <w14:lumOff w14:val="5000"/>
              </w14:schemeClr>
            </w14:solidFill>
          </w14:textFill>
        </w:rPr>
      </w:pPr>
      <w:r>
        <w:rPr>
          <w:color w:val="0D0D0D" w:themeColor="text1" w:themeTint="F2"/>
          <w:sz w:val="22"/>
          <w:lang w:eastAsia="zh-CN"/>
          <w14:textFill>
            <w14:solidFill>
              <w14:schemeClr w14:val="tx1">
                <w14:lumMod w14:val="95000"/>
                <w14:lumOff w14:val="5000"/>
              </w14:schemeClr>
            </w14:solidFill>
          </w14:textFill>
        </w:rPr>
        <w:t>当前，人工智能、大数据、物联网与机器人等新技术正加速重构环境产业运行模式，智能化已深度融入设计制造、设施运营、监测监管全链条，以智能化为核心的数智化转型成为环境产业最确定的时代主题。</w:t>
      </w:r>
    </w:p>
    <w:p w14:paraId="7B5093C0">
      <w:pPr>
        <w:ind w:firstLine="480"/>
        <w:rPr>
          <w:color w:val="0D0D0D" w:themeColor="text1" w:themeTint="F2"/>
          <w:sz w:val="22"/>
          <w:lang w:eastAsia="zh-CN"/>
          <w14:textFill>
            <w14:solidFill>
              <w14:schemeClr w14:val="tx1">
                <w14:lumMod w14:val="95000"/>
                <w14:lumOff w14:val="5000"/>
              </w14:schemeClr>
            </w14:solidFill>
          </w14:textFill>
        </w:rPr>
      </w:pPr>
      <w:r>
        <w:rPr>
          <w:color w:val="0D0D0D" w:themeColor="text1" w:themeTint="F2"/>
          <w:sz w:val="22"/>
          <w:lang w:eastAsia="zh-CN"/>
          <w14:textFill>
            <w14:solidFill>
              <w14:schemeClr w14:val="tx1">
                <w14:lumMod w14:val="95000"/>
                <w14:lumOff w14:val="5000"/>
              </w14:schemeClr>
            </w14:solidFill>
          </w14:textFill>
        </w:rPr>
        <w:t>2025年，工业和信息化部、生态环境部、市场监管总局联合印发《关于促进环保装备制造业高质量发展的若干意见》（工信部联节〔2025〕49号），明确推动环保装备高端化、智能化、绿色化发展；同年《国家鼓励发展的重大环保技术装备目录（2025年版）》发布，115项重大环保技术装备上榜，为环境产业智能化升级提供了清晰的政策指引与市场信号。</w:t>
      </w:r>
    </w:p>
    <w:p w14:paraId="0E411E4D">
      <w:pPr>
        <w:ind w:firstLine="480"/>
        <w:rPr>
          <w:color w:val="0D0D0D" w:themeColor="text1" w:themeTint="F2"/>
          <w:sz w:val="22"/>
          <w:lang w:eastAsia="zh-CN"/>
          <w14:textFill>
            <w14:solidFill>
              <w14:schemeClr w14:val="tx1">
                <w14:lumMod w14:val="95000"/>
                <w14:lumOff w14:val="5000"/>
              </w14:schemeClr>
            </w14:solidFill>
          </w14:textFill>
        </w:rPr>
      </w:pPr>
      <w:r>
        <w:rPr>
          <w:color w:val="0D0D0D" w:themeColor="text1" w:themeTint="F2"/>
          <w:sz w:val="22"/>
          <w:lang w:eastAsia="zh-CN"/>
          <w14:textFill>
            <w14:solidFill>
              <w14:schemeClr w14:val="tx1">
                <w14:lumMod w14:val="95000"/>
                <w14:lumOff w14:val="5000"/>
              </w14:schemeClr>
            </w14:solidFill>
          </w14:textFill>
        </w:rPr>
        <w:t>产业数据印证了这一趋势：2024年我国环保装备制造业总产值达9200亿元，据《低速无人驾驶清扫车行业发展蓝皮书（2024版）》预测，2025年无人环卫服务潜在市场规模或达2800亿元。环境产业智能化正从“试点示范”走向“规模化应用”——率先形成可验证、可复制、可推广应用场景案例者，将掌握下一轮产业竞争的话语权。</w:t>
      </w:r>
    </w:p>
    <w:p w14:paraId="7B405D74">
      <w:pPr>
        <w:ind w:firstLine="480"/>
        <w:rPr>
          <w:color w:val="0D0D0D" w:themeColor="text1" w:themeTint="F2"/>
          <w:sz w:val="22"/>
          <w:lang w:eastAsia="zh-CN"/>
          <w14:textFill>
            <w14:solidFill>
              <w14:schemeClr w14:val="tx1">
                <w14:lumMod w14:val="95000"/>
                <w14:lumOff w14:val="5000"/>
              </w14:schemeClr>
            </w14:solidFill>
          </w14:textFill>
        </w:rPr>
      </w:pPr>
      <w:r>
        <w:rPr>
          <w:color w:val="0D0D0D" w:themeColor="text1" w:themeTint="F2"/>
          <w:sz w:val="22"/>
          <w:lang w:eastAsia="zh-CN"/>
          <w14:textFill>
            <w14:solidFill>
              <w14:schemeClr w14:val="tx1">
                <w14:lumMod w14:val="95000"/>
                <w14:lumOff w14:val="5000"/>
              </w14:schemeClr>
            </w14:solidFill>
          </w14:textFill>
        </w:rPr>
        <w:t>E20环境平台始于2000年，深耕环境产业</w:t>
      </w:r>
      <w:r>
        <w:rPr>
          <w:rFonts w:hint="eastAsia"/>
          <w:color w:val="0D0D0D" w:themeColor="text1" w:themeTint="F2"/>
          <w:sz w:val="22"/>
          <w:lang w:eastAsia="zh-CN"/>
          <w14:textFill>
            <w14:solidFill>
              <w14:schemeClr w14:val="tx1">
                <w14:lumMod w14:val="95000"/>
                <w14:lumOff w14:val="5000"/>
              </w14:schemeClr>
            </w14:solidFill>
          </w14:textFill>
        </w:rPr>
        <w:t>二十六</w:t>
      </w:r>
      <w:r>
        <w:rPr>
          <w:color w:val="0D0D0D" w:themeColor="text1" w:themeTint="F2"/>
          <w:sz w:val="22"/>
          <w:lang w:eastAsia="zh-CN"/>
          <w14:textFill>
            <w14:solidFill>
              <w14:schemeClr w14:val="tx1">
                <w14:lumMod w14:val="95000"/>
                <w14:lumOff w14:val="5000"/>
              </w14:schemeClr>
            </w14:solidFill>
          </w14:textFill>
        </w:rPr>
        <w:t>年，定位为“智库智能双引擎的环境纵深生态平台”，是工业和信息化部“国家中小企业公共服务示范平台”、北京市“专精特新”小巨人企业。</w:t>
      </w:r>
      <w:r>
        <w:rPr>
          <w:rFonts w:hint="eastAsia"/>
          <w:color w:val="0D0D0D" w:themeColor="text1" w:themeTint="F2"/>
          <w:sz w:val="22"/>
          <w:lang w:eastAsia="zh-CN"/>
          <w14:textFill>
            <w14:solidFill>
              <w14:schemeClr w14:val="tx1">
                <w14:lumMod w14:val="95000"/>
                <w14:lumOff w14:val="5000"/>
              </w14:schemeClr>
            </w14:solidFill>
          </w14:textFill>
        </w:rPr>
        <w:t>E20环境产业</w:t>
      </w:r>
      <w:r>
        <w:rPr>
          <w:color w:val="0D0D0D" w:themeColor="text1" w:themeTint="F2"/>
          <w:sz w:val="22"/>
          <w:lang w:eastAsia="zh-CN"/>
          <w14:textFill>
            <w14:solidFill>
              <w14:schemeClr w14:val="tx1">
                <w14:lumMod w14:val="95000"/>
                <w14:lumOff w14:val="5000"/>
              </w14:schemeClr>
            </w14:solidFill>
          </w14:textFill>
        </w:rPr>
        <w:t>圈层汇聚</w:t>
      </w:r>
      <w:r>
        <w:rPr>
          <w:rFonts w:hint="eastAsia"/>
          <w:color w:val="0D0D0D" w:themeColor="text1" w:themeTint="F2"/>
          <w:sz w:val="22"/>
          <w:lang w:eastAsia="zh-CN"/>
          <w14:textFill>
            <w14:solidFill>
              <w14:schemeClr w14:val="tx1">
                <w14:lumMod w14:val="95000"/>
                <w14:lumOff w14:val="5000"/>
              </w14:schemeClr>
            </w14:solidFill>
          </w14:textFill>
        </w:rPr>
        <w:t>圈层企业300</w:t>
      </w:r>
      <w:r>
        <w:rPr>
          <w:color w:val="0D0D0D" w:themeColor="text1" w:themeTint="F2"/>
          <w:sz w:val="22"/>
          <w:lang w:eastAsia="zh-CN"/>
          <w14:textFill>
            <w14:solidFill>
              <w14:schemeClr w14:val="tx1">
                <w14:lumMod w14:val="95000"/>
                <w14:lumOff w14:val="5000"/>
              </w14:schemeClr>
            </w14:solidFill>
          </w14:textFill>
        </w:rPr>
        <w:t>余家，运营中国水网</w:t>
      </w:r>
      <w:r>
        <w:rPr>
          <w:rFonts w:hint="eastAsia"/>
          <w:color w:val="0D0D0D" w:themeColor="text1" w:themeTint="F2"/>
          <w:sz w:val="22"/>
          <w:lang w:eastAsia="zh-CN"/>
          <w14:textFill>
            <w14:solidFill>
              <w14:schemeClr w14:val="tx1">
                <w14:lumMod w14:val="95000"/>
                <w14:lumOff w14:val="5000"/>
              </w14:schemeClr>
            </w14:solidFill>
          </w14:textFill>
        </w:rPr>
        <w:t>、中国固废网、中国大气网</w:t>
      </w:r>
      <w:r>
        <w:rPr>
          <w:color w:val="0D0D0D" w:themeColor="text1" w:themeTint="F2"/>
          <w:sz w:val="22"/>
          <w:lang w:eastAsia="zh-CN"/>
          <w14:textFill>
            <w14:solidFill>
              <w14:schemeClr w14:val="tx1">
                <w14:lumMod w14:val="95000"/>
                <w14:lumOff w14:val="5000"/>
              </w14:schemeClr>
            </w14:solidFill>
          </w14:textFill>
        </w:rPr>
        <w:t>等行业媒体矩阵，发起“双百跨越”污水处理标杆联盟</w:t>
      </w:r>
      <w:r>
        <w:rPr>
          <w:rFonts w:hint="eastAsia"/>
          <w:color w:val="0D0D0D" w:themeColor="text1" w:themeTint="F2"/>
          <w:sz w:val="22"/>
          <w:lang w:eastAsia="zh-CN"/>
          <w14:textFill>
            <w14:solidFill>
              <w14:schemeClr w14:val="tx1">
                <w14:lumMod w14:val="95000"/>
                <w14:lumOff w14:val="5000"/>
              </w14:schemeClr>
            </w14:solidFill>
          </w14:textFill>
        </w:rPr>
        <w:t>、</w:t>
      </w:r>
      <w:r>
        <w:rPr>
          <w:color w:val="0D0D0D" w:themeColor="text1" w:themeTint="F2"/>
          <w:sz w:val="22"/>
          <w:lang w:eastAsia="zh-CN"/>
          <w14:textFill>
            <w14:solidFill>
              <w14:schemeClr w14:val="tx1">
                <w14:lumMod w14:val="95000"/>
                <w14:lumOff w14:val="5000"/>
              </w14:schemeClr>
            </w14:solidFill>
          </w14:textFill>
        </w:rPr>
        <w:t>“双百跨越”</w:t>
      </w:r>
      <w:r>
        <w:rPr>
          <w:rFonts w:hint="eastAsia"/>
          <w:color w:val="0D0D0D" w:themeColor="text1" w:themeTint="F2"/>
          <w:sz w:val="22"/>
          <w:lang w:val="en-US" w:eastAsia="zh-CN"/>
          <w14:textFill>
            <w14:solidFill>
              <w14:schemeClr w14:val="tx1">
                <w14:lumMod w14:val="95000"/>
                <w14:lumOff w14:val="5000"/>
              </w14:schemeClr>
            </w14:solidFill>
          </w14:textFill>
        </w:rPr>
        <w:t>垃圾焚烧</w:t>
      </w:r>
      <w:r>
        <w:rPr>
          <w:color w:val="0D0D0D" w:themeColor="text1" w:themeTint="F2"/>
          <w:sz w:val="22"/>
          <w:lang w:eastAsia="zh-CN"/>
          <w14:textFill>
            <w14:solidFill>
              <w14:schemeClr w14:val="tx1">
                <w14:lumMod w14:val="95000"/>
                <w14:lumOff w14:val="5000"/>
              </w14:schemeClr>
            </w14:solidFill>
          </w14:textFill>
        </w:rPr>
        <w:t>标杆联盟</w:t>
      </w:r>
      <w:r>
        <w:rPr>
          <w:rFonts w:hint="eastAsia"/>
          <w:color w:val="0D0D0D" w:themeColor="text1" w:themeTint="F2"/>
          <w:sz w:val="22"/>
          <w:lang w:eastAsia="zh-CN"/>
          <w14:textFill>
            <w14:solidFill>
              <w14:schemeClr w14:val="tx1">
                <w14:lumMod w14:val="95000"/>
                <w14:lumOff w14:val="5000"/>
              </w14:schemeClr>
            </w14:solidFill>
          </w14:textFill>
        </w:rPr>
        <w:t>、</w:t>
      </w:r>
      <w:r>
        <w:rPr>
          <w:color w:val="0D0D0D" w:themeColor="text1" w:themeTint="F2"/>
          <w:sz w:val="22"/>
          <w:lang w:eastAsia="zh-CN"/>
          <w14:textFill>
            <w14:solidFill>
              <w14:schemeClr w14:val="tx1">
                <w14:lumMod w14:val="95000"/>
                <w14:lumOff w14:val="5000"/>
              </w14:schemeClr>
            </w14:solidFill>
          </w14:textFill>
        </w:rPr>
        <w:t>“双百跨越”</w:t>
      </w:r>
      <w:r>
        <w:rPr>
          <w:rFonts w:hint="eastAsia"/>
          <w:color w:val="0D0D0D" w:themeColor="text1" w:themeTint="F2"/>
          <w:sz w:val="22"/>
          <w:lang w:val="en-US" w:eastAsia="zh-CN"/>
          <w14:textFill>
            <w14:solidFill>
              <w14:schemeClr w14:val="tx1">
                <w14:lumMod w14:val="95000"/>
                <w14:lumOff w14:val="5000"/>
              </w14:schemeClr>
            </w14:solidFill>
          </w14:textFill>
        </w:rPr>
        <w:t>有机固废</w:t>
      </w:r>
      <w:r>
        <w:rPr>
          <w:color w:val="0D0D0D" w:themeColor="text1" w:themeTint="F2"/>
          <w:sz w:val="22"/>
          <w:lang w:eastAsia="zh-CN"/>
          <w14:textFill>
            <w14:solidFill>
              <w14:schemeClr w14:val="tx1">
                <w14:lumMod w14:val="95000"/>
                <w14:lumOff w14:val="5000"/>
              </w14:schemeClr>
            </w14:solidFill>
          </w14:textFill>
        </w:rPr>
        <w:t>标杆联盟与环境产品领跑者国际联盟，打造两山智联智能平台，持续以智库研究与智能产品双引擎，推动环境产业数智化进程。</w:t>
      </w:r>
    </w:p>
    <w:p w14:paraId="3FE476C2">
      <w:pPr>
        <w:ind w:firstLine="480"/>
        <w:rPr>
          <w:color w:val="0D0D0D" w:themeColor="text1" w:themeTint="F2"/>
          <w:sz w:val="22"/>
          <w:lang w:eastAsia="zh-CN"/>
          <w14:textFill>
            <w14:solidFill>
              <w14:schemeClr w14:val="tx1">
                <w14:lumMod w14:val="95000"/>
                <w14:lumOff w14:val="5000"/>
              </w14:schemeClr>
            </w14:solidFill>
          </w14:textFill>
        </w:rPr>
      </w:pPr>
      <w:r>
        <w:rPr>
          <w:color w:val="0D0D0D" w:themeColor="text1" w:themeTint="F2"/>
          <w:sz w:val="22"/>
          <w:lang w:eastAsia="zh-CN"/>
          <w14:textFill>
            <w14:solidFill>
              <w14:schemeClr w14:val="tx1">
                <w14:lumMod w14:val="95000"/>
                <w14:lumOff w14:val="5000"/>
              </w14:schemeClr>
            </w14:solidFill>
          </w14:textFill>
        </w:rPr>
        <w:t>为深入挖掘智能技术在环境产业场景中的应用价值，树立行业标杆、促进供需对接、加快先进技术推广应用，E20环境平台现携手中国环博会面向环境产业征集智能应用于场景的优秀案例。有关事项函告如下：</w:t>
      </w:r>
    </w:p>
    <w:p w14:paraId="2997941A">
      <w:pPr>
        <w:pBdr>
          <w:top w:val="single" w:color="2E7D32" w:sz="8" w:space="4"/>
          <w:left w:val="single" w:color="2E7D32" w:sz="8" w:space="4"/>
          <w:bottom w:val="single" w:color="2E7D32" w:sz="8" w:space="4"/>
          <w:right w:val="single" w:color="2E7D32" w:sz="8" w:space="4"/>
        </w:pBdr>
        <w:shd w:val="clear" w:color="auto" w:fill="F5F8F6"/>
        <w:spacing w:before="160" w:after="200"/>
        <w:jc w:val="center"/>
        <w:rPr>
          <w:lang w:eastAsia="zh-CN"/>
        </w:rPr>
      </w:pPr>
      <w:r>
        <w:rPr>
          <w:rFonts w:eastAsia="黑体"/>
          <w:b/>
          <w:color w:val="145C3B"/>
          <w:sz w:val="23"/>
          <w:lang w:eastAsia="zh-CN"/>
        </w:rPr>
        <w:t>以场景定义价值，以案例树立标杆——让中国环境产业的智能应用被看见、被验证、被推广</w:t>
      </w:r>
    </w:p>
    <w:p w14:paraId="01350AFA">
      <w:pPr>
        <w:pStyle w:val="3"/>
        <w:shd w:val="clear" w:color="auto" w:fill="E8F5E9"/>
        <w:rPr>
          <w:rFonts w:ascii="Times New Roman" w:hAnsi="Times New Roman" w:eastAsia="黑体"/>
          <w:sz w:val="24"/>
          <w:szCs w:val="24"/>
          <w:lang w:eastAsia="zh-CN"/>
        </w:rPr>
      </w:pPr>
      <w:r>
        <w:rPr>
          <w:rFonts w:ascii="Times New Roman" w:hAnsi="Times New Roman" w:eastAsia="黑体"/>
          <w:sz w:val="24"/>
          <w:szCs w:val="24"/>
          <w:lang w:eastAsia="zh-CN"/>
        </w:rPr>
        <w:t>一、征集对象</w:t>
      </w:r>
    </w:p>
    <w:p w14:paraId="4ACFD858">
      <w:pPr>
        <w:ind w:firstLine="480"/>
        <w:rPr>
          <w:sz w:val="22"/>
          <w:szCs w:val="21"/>
          <w:lang w:eastAsia="zh-CN"/>
        </w:rPr>
      </w:pPr>
      <w:r>
        <w:rPr>
          <w:sz w:val="22"/>
          <w:szCs w:val="21"/>
          <w:lang w:eastAsia="zh-CN"/>
        </w:rPr>
        <w:t>本次征集面向环境产业全链条相关单位，包括：环保装备制造企业；环保技术方案与服务提供商；水务、环卫、固废、危废、环境监测等领域的运营服务企业；以及相关科研院所等。欢迎</w:t>
      </w:r>
      <w:r>
        <w:rPr>
          <w:rFonts w:hint="eastAsia"/>
          <w:sz w:val="22"/>
          <w:szCs w:val="21"/>
          <w:lang w:eastAsia="zh-CN"/>
        </w:rPr>
        <w:t>环境产业企业</w:t>
      </w:r>
      <w:r>
        <w:rPr>
          <w:sz w:val="22"/>
          <w:szCs w:val="21"/>
          <w:lang w:eastAsia="zh-CN"/>
        </w:rPr>
        <w:t>及</w:t>
      </w:r>
      <w:r>
        <w:rPr>
          <w:rFonts w:hint="eastAsia"/>
          <w:sz w:val="22"/>
          <w:szCs w:val="21"/>
          <w:lang w:eastAsia="zh-CN"/>
        </w:rPr>
        <w:t>E20环境产业</w:t>
      </w:r>
      <w:r>
        <w:rPr>
          <w:sz w:val="22"/>
          <w:szCs w:val="21"/>
          <w:lang w:eastAsia="zh-CN"/>
        </w:rPr>
        <w:t>圈层伙伴积极申报。</w:t>
      </w:r>
    </w:p>
    <w:p w14:paraId="0CF4C36A">
      <w:pPr>
        <w:pStyle w:val="3"/>
        <w:shd w:val="clear" w:color="auto" w:fill="E8F5E9"/>
        <w:rPr>
          <w:sz w:val="24"/>
          <w:szCs w:val="24"/>
          <w:lang w:eastAsia="zh-CN"/>
        </w:rPr>
      </w:pPr>
      <w:r>
        <w:rPr>
          <w:rFonts w:ascii="Times New Roman" w:hAnsi="Times New Roman" w:eastAsia="黑体"/>
          <w:sz w:val="24"/>
          <w:szCs w:val="24"/>
          <w:lang w:eastAsia="zh-CN"/>
        </w:rPr>
        <w:t>二、征集方向</w:t>
      </w:r>
    </w:p>
    <w:p w14:paraId="7D122BC6">
      <w:pPr>
        <w:ind w:firstLine="480"/>
        <w:rPr>
          <w:sz w:val="22"/>
          <w:szCs w:val="21"/>
          <w:lang w:eastAsia="zh-CN"/>
        </w:rPr>
      </w:pPr>
      <w:r>
        <w:rPr>
          <w:sz w:val="22"/>
          <w:szCs w:val="21"/>
          <w:lang w:eastAsia="zh-CN"/>
        </w:rPr>
        <w:t>本次征集围绕智能技术在环境产业典型场景中的应用，重点方向包括（但不限于）：</w:t>
      </w:r>
    </w:p>
    <w:p w14:paraId="6D1233AC">
      <w:pPr>
        <w:ind w:firstLine="480"/>
        <w:rPr>
          <w:sz w:val="22"/>
          <w:szCs w:val="21"/>
          <w:lang w:eastAsia="zh-CN"/>
        </w:rPr>
      </w:pPr>
      <w:r>
        <w:rPr>
          <w:sz w:val="22"/>
          <w:szCs w:val="21"/>
          <w:lang w:eastAsia="zh-CN"/>
        </w:rPr>
        <w:t>（一）智慧水务与污水处理：智能水表、智能泵站与管网调控、AI工艺优化、数字孪生水厂、厂区智能巡检等；</w:t>
      </w:r>
    </w:p>
    <w:p w14:paraId="4D12B2E7">
      <w:pPr>
        <w:ind w:firstLine="480"/>
        <w:rPr>
          <w:sz w:val="22"/>
          <w:szCs w:val="21"/>
          <w:lang w:eastAsia="zh-CN"/>
        </w:rPr>
      </w:pPr>
      <w:r>
        <w:rPr>
          <w:sz w:val="22"/>
          <w:szCs w:val="21"/>
          <w:lang w:eastAsia="zh-CN"/>
        </w:rPr>
        <w:t>（二）智能环卫与城市清洁：无人驾驶清扫装备、清洁机器人、智慧环卫管理平台、垃圾分类智能识别与分拣等；</w:t>
      </w:r>
    </w:p>
    <w:p w14:paraId="21E3C5F2">
      <w:pPr>
        <w:ind w:firstLine="480"/>
        <w:rPr>
          <w:sz w:val="22"/>
          <w:szCs w:val="21"/>
          <w:lang w:eastAsia="zh-CN"/>
        </w:rPr>
      </w:pPr>
      <w:r>
        <w:rPr>
          <w:sz w:val="22"/>
          <w:szCs w:val="21"/>
          <w:lang w:eastAsia="zh-CN"/>
        </w:rPr>
        <w:t>（三）环境监测与智能巡检：在线监测装备、无人机与机器人巡检、AI视觉识别、遥感监测与预警等；</w:t>
      </w:r>
    </w:p>
    <w:p w14:paraId="47778C72">
      <w:pPr>
        <w:ind w:firstLine="480"/>
        <w:rPr>
          <w:sz w:val="22"/>
          <w:szCs w:val="21"/>
          <w:lang w:eastAsia="zh-CN"/>
        </w:rPr>
      </w:pPr>
      <w:r>
        <w:rPr>
          <w:sz w:val="22"/>
          <w:szCs w:val="21"/>
          <w:lang w:eastAsia="zh-CN"/>
        </w:rPr>
        <w:t>（四）固废处理与危废管理：智能</w:t>
      </w:r>
      <w:r>
        <w:rPr>
          <w:rFonts w:hint="eastAsia"/>
          <w:sz w:val="22"/>
          <w:szCs w:val="21"/>
          <w:lang w:val="en-US" w:eastAsia="zh-CN"/>
        </w:rPr>
        <w:t>预处理</w:t>
      </w:r>
      <w:r>
        <w:rPr>
          <w:sz w:val="22"/>
          <w:szCs w:val="21"/>
          <w:lang w:eastAsia="zh-CN"/>
        </w:rPr>
        <w:t>、焚烧智能控制、</w:t>
      </w:r>
      <w:r>
        <w:rPr>
          <w:rFonts w:hint="eastAsia"/>
          <w:sz w:val="22"/>
          <w:szCs w:val="21"/>
          <w:lang w:val="en-US" w:eastAsia="zh-CN"/>
        </w:rPr>
        <w:t>产气预测、智能配伍、</w:t>
      </w:r>
      <w:r>
        <w:rPr>
          <w:sz w:val="22"/>
          <w:szCs w:val="21"/>
          <w:lang w:eastAsia="zh-CN"/>
        </w:rPr>
        <w:t>危险废物全过程信息化监管等；</w:t>
      </w:r>
    </w:p>
    <w:p w14:paraId="5F29232A">
      <w:pPr>
        <w:ind w:firstLine="480"/>
        <w:rPr>
          <w:sz w:val="22"/>
          <w:szCs w:val="21"/>
          <w:lang w:eastAsia="zh-CN"/>
        </w:rPr>
      </w:pPr>
      <w:r>
        <w:rPr>
          <w:sz w:val="22"/>
          <w:szCs w:val="21"/>
          <w:lang w:eastAsia="zh-CN"/>
        </w:rPr>
        <w:t>（五）管网运维与管道清污：管网检测清污机器人、管道检测与修复装备、智能诊断与预测性维护等；</w:t>
      </w:r>
    </w:p>
    <w:p w14:paraId="5E00ACB6">
      <w:pPr>
        <w:ind w:firstLine="480"/>
        <w:rPr>
          <w:sz w:val="22"/>
          <w:szCs w:val="21"/>
          <w:lang w:eastAsia="zh-CN"/>
        </w:rPr>
      </w:pPr>
      <w:r>
        <w:rPr>
          <w:sz w:val="22"/>
          <w:szCs w:val="21"/>
          <w:lang w:eastAsia="zh-CN"/>
        </w:rPr>
        <w:t>（六）园区与厂区智慧运营：智慧园区管理、能耗与碳排放优化、安全生产智能监控等；</w:t>
      </w:r>
    </w:p>
    <w:p w14:paraId="4C7BB3FF">
      <w:pPr>
        <w:ind w:firstLine="480"/>
        <w:rPr>
          <w:sz w:val="22"/>
          <w:szCs w:val="21"/>
          <w:lang w:eastAsia="zh-CN"/>
        </w:rPr>
      </w:pPr>
      <w:r>
        <w:rPr>
          <w:sz w:val="22"/>
          <w:szCs w:val="21"/>
          <w:lang w:eastAsia="zh-CN"/>
        </w:rPr>
        <w:t>（七）减污降碳协同与资源化利用：智能应用助力节能降碳、废弃物资源化利用等。</w:t>
      </w:r>
    </w:p>
    <w:p w14:paraId="15C78E51">
      <w:pPr>
        <w:pStyle w:val="3"/>
        <w:shd w:val="clear" w:color="auto" w:fill="E8F5E9"/>
        <w:rPr>
          <w:sz w:val="24"/>
          <w:szCs w:val="24"/>
          <w:lang w:eastAsia="zh-CN"/>
        </w:rPr>
      </w:pPr>
      <w:r>
        <w:rPr>
          <w:rFonts w:ascii="Times New Roman" w:hAnsi="Times New Roman" w:eastAsia="黑体"/>
          <w:sz w:val="24"/>
          <w:szCs w:val="24"/>
          <w:lang w:eastAsia="zh-CN"/>
        </w:rPr>
        <w:t>三、申报条件</w:t>
      </w:r>
    </w:p>
    <w:p w14:paraId="568E3879">
      <w:pPr>
        <w:ind w:firstLine="480"/>
        <w:rPr>
          <w:sz w:val="22"/>
          <w:szCs w:val="21"/>
          <w:lang w:eastAsia="zh-CN"/>
        </w:rPr>
      </w:pPr>
      <w:r>
        <w:rPr>
          <w:sz w:val="22"/>
          <w:szCs w:val="21"/>
          <w:lang w:eastAsia="zh-CN"/>
        </w:rPr>
        <w:t>申报案例应同时满足以下条件：</w:t>
      </w:r>
    </w:p>
    <w:p w14:paraId="5954A379">
      <w:pPr>
        <w:ind w:firstLine="480"/>
        <w:rPr>
          <w:sz w:val="22"/>
          <w:szCs w:val="21"/>
          <w:lang w:eastAsia="zh-CN"/>
        </w:rPr>
      </w:pPr>
      <w:r>
        <w:rPr>
          <w:sz w:val="22"/>
          <w:szCs w:val="21"/>
          <w:lang w:eastAsia="zh-CN"/>
        </w:rPr>
        <w:t>（一）案例已在环境产业实际生产运营场景中落地应用，运行稳定，应用效果可验证</w:t>
      </w:r>
      <w:r>
        <w:rPr>
          <w:rFonts w:hint="eastAsia"/>
          <w:sz w:val="22"/>
          <w:szCs w:val="21"/>
          <w:lang w:val="en-US" w:eastAsia="zh-CN"/>
        </w:rPr>
        <w:t>或已完成试点验证、具备可验证运行数据</w:t>
      </w:r>
      <w:r>
        <w:rPr>
          <w:sz w:val="22"/>
          <w:szCs w:val="21"/>
          <w:lang w:eastAsia="zh-CN"/>
        </w:rPr>
        <w:t>；</w:t>
      </w:r>
    </w:p>
    <w:p w14:paraId="753311E6">
      <w:pPr>
        <w:ind w:firstLine="480"/>
        <w:rPr>
          <w:sz w:val="22"/>
          <w:szCs w:val="21"/>
          <w:lang w:eastAsia="zh-CN"/>
        </w:rPr>
      </w:pPr>
      <w:r>
        <w:rPr>
          <w:sz w:val="22"/>
          <w:szCs w:val="21"/>
          <w:lang w:eastAsia="zh-CN"/>
        </w:rPr>
        <w:t>（二）案例所采用的智能技术、装备或系统方案具有创新性、先进性与代表性，具备行业推广应用价值；</w:t>
      </w:r>
    </w:p>
    <w:p w14:paraId="3A3B5A00">
      <w:pPr>
        <w:ind w:firstLine="480"/>
        <w:rPr>
          <w:sz w:val="22"/>
          <w:szCs w:val="21"/>
          <w:lang w:eastAsia="zh-CN"/>
        </w:rPr>
      </w:pPr>
      <w:r>
        <w:rPr>
          <w:sz w:val="22"/>
          <w:szCs w:val="21"/>
          <w:lang w:eastAsia="zh-CN"/>
        </w:rPr>
        <w:t>（三）应用效果明确，能够提供效率、成本、能耗、排放等维度的量化指标及对比基线；</w:t>
      </w:r>
    </w:p>
    <w:p w14:paraId="0B6D61EC">
      <w:pPr>
        <w:ind w:firstLine="480"/>
        <w:rPr>
          <w:sz w:val="22"/>
          <w:szCs w:val="21"/>
          <w:lang w:eastAsia="zh-CN"/>
        </w:rPr>
      </w:pPr>
      <w:r>
        <w:rPr>
          <w:sz w:val="22"/>
          <w:szCs w:val="21"/>
          <w:lang w:eastAsia="zh-CN"/>
        </w:rPr>
        <w:t>（四）申报主体对案例内容拥有合法权属，不存在知识产权争议；</w:t>
      </w:r>
    </w:p>
    <w:p w14:paraId="0A5BF3FF">
      <w:pPr>
        <w:ind w:firstLine="480"/>
        <w:rPr>
          <w:sz w:val="22"/>
          <w:szCs w:val="21"/>
          <w:lang w:eastAsia="zh-CN"/>
        </w:rPr>
      </w:pPr>
      <w:r>
        <w:rPr>
          <w:sz w:val="22"/>
          <w:szCs w:val="21"/>
          <w:lang w:eastAsia="zh-CN"/>
        </w:rPr>
        <w:t>（五）申报材料内容真实、完整，涉密内容已按要求完成脱密处理。</w:t>
      </w:r>
    </w:p>
    <w:p w14:paraId="406D88D8">
      <w:pPr>
        <w:pStyle w:val="3"/>
        <w:shd w:val="clear" w:color="auto" w:fill="E8F5E9"/>
        <w:rPr>
          <w:sz w:val="24"/>
          <w:szCs w:val="24"/>
          <w:lang w:eastAsia="zh-CN"/>
        </w:rPr>
      </w:pPr>
      <w:r>
        <w:rPr>
          <w:rFonts w:ascii="Times New Roman" w:hAnsi="Times New Roman" w:eastAsia="黑体"/>
          <w:sz w:val="24"/>
          <w:szCs w:val="24"/>
          <w:lang w:eastAsia="zh-CN"/>
        </w:rPr>
        <w:t>四、申报材料要求</w:t>
      </w:r>
    </w:p>
    <w:p w14:paraId="755119A4">
      <w:pPr>
        <w:ind w:firstLine="480"/>
        <w:rPr>
          <w:sz w:val="22"/>
          <w:szCs w:val="21"/>
          <w:lang w:eastAsia="zh-CN"/>
        </w:rPr>
      </w:pPr>
      <w:r>
        <w:rPr>
          <w:sz w:val="22"/>
          <w:szCs w:val="21"/>
          <w:lang w:eastAsia="zh-CN"/>
        </w:rPr>
        <w:t>（一）填写《环境产业“智能+场景”应用案例申报表》（见附件），内容包括案例名称、申报单位、应用场景、技术方案、实施效果、推广价值等；</w:t>
      </w:r>
    </w:p>
    <w:p w14:paraId="38BC7F77">
      <w:pPr>
        <w:ind w:firstLine="480"/>
        <w:rPr>
          <w:sz w:val="22"/>
          <w:szCs w:val="21"/>
          <w:lang w:eastAsia="zh-CN"/>
        </w:rPr>
      </w:pPr>
      <w:r>
        <w:rPr>
          <w:sz w:val="22"/>
          <w:szCs w:val="21"/>
          <w:lang w:eastAsia="zh-CN"/>
        </w:rPr>
        <w:t>（二）提供必要的证明材料，包括但不限于合同、验收报告、检测报告、用户评价等</w:t>
      </w:r>
      <w:r>
        <w:rPr>
          <w:rFonts w:hint="eastAsia"/>
          <w:sz w:val="22"/>
          <w:szCs w:val="21"/>
          <w:lang w:eastAsia="zh-CN"/>
        </w:rPr>
        <w:t>（</w:t>
      </w:r>
      <w:r>
        <w:rPr>
          <w:rFonts w:hint="eastAsia"/>
          <w:sz w:val="22"/>
          <w:szCs w:val="21"/>
          <w:lang w:val="en-US" w:eastAsia="zh-CN"/>
        </w:rPr>
        <w:t>涉密信息可以隐去</w:t>
      </w:r>
      <w:r>
        <w:rPr>
          <w:rFonts w:hint="eastAsia"/>
          <w:sz w:val="22"/>
          <w:szCs w:val="21"/>
          <w:lang w:eastAsia="zh-CN"/>
        </w:rPr>
        <w:t>）</w:t>
      </w:r>
      <w:r>
        <w:rPr>
          <w:sz w:val="22"/>
          <w:szCs w:val="21"/>
          <w:lang w:eastAsia="zh-CN"/>
        </w:rPr>
        <w:t>；</w:t>
      </w:r>
    </w:p>
    <w:p w14:paraId="0F4B3CAB">
      <w:pPr>
        <w:ind w:firstLine="480"/>
        <w:rPr>
          <w:sz w:val="22"/>
          <w:szCs w:val="21"/>
          <w:lang w:eastAsia="zh-CN"/>
        </w:rPr>
      </w:pPr>
      <w:r>
        <w:rPr>
          <w:sz w:val="22"/>
          <w:szCs w:val="21"/>
          <w:lang w:eastAsia="zh-CN"/>
        </w:rPr>
        <w:t>（三）提供现场照片、视频等影像材料，用于案例展示与宣传。</w:t>
      </w:r>
    </w:p>
    <w:p w14:paraId="A4B5C6D7">
      <w:pPr>
        <w:ind w:firstLine="480"/>
        <w:rPr>
          <w:sz w:val="22"/>
          <w:szCs w:val="21"/>
          <w:lang w:eastAsia="zh-CN"/>
        </w:rPr>
      </w:pPr>
      <w:r>
        <w:rPr>
          <w:sz w:val="22"/>
          <w:szCs w:val="21"/>
          <w:lang w:eastAsia="zh-CN"/>
        </w:rPr>
        <w:t>（四）每家单位每个征集领域限报一个产品；入选实物展示专区的优秀案例，环博会现场提供展示场地。</w:t>
      </w:r>
    </w:p>
    <w:p w14:paraId="7B318548">
      <w:pPr>
        <w:pStyle w:val="3"/>
        <w:shd w:val="clear" w:color="auto" w:fill="E8F5E9"/>
        <w:rPr>
          <w:sz w:val="24"/>
          <w:szCs w:val="24"/>
          <w:lang w:eastAsia="zh-CN"/>
        </w:rPr>
      </w:pPr>
      <w:r>
        <w:rPr>
          <w:rFonts w:ascii="Times New Roman" w:hAnsi="Times New Roman" w:eastAsia="黑体"/>
          <w:sz w:val="24"/>
          <w:szCs w:val="24"/>
          <w:lang w:eastAsia="zh-CN"/>
        </w:rPr>
        <w:t>五、申报方式与时间</w:t>
      </w:r>
    </w:p>
    <w:p w14:paraId="172B377C">
      <w:pPr>
        <w:ind w:firstLine="480"/>
        <w:rPr>
          <w:sz w:val="22"/>
          <w:szCs w:val="21"/>
          <w:lang w:eastAsia="zh-CN"/>
        </w:rPr>
      </w:pPr>
      <w:r>
        <w:rPr>
          <w:sz w:val="22"/>
          <w:szCs w:val="21"/>
          <w:lang w:eastAsia="zh-CN"/>
        </w:rPr>
        <w:t>（一）请将申报材料电子版打包发送至申报邮箱【×××】，邮件主题请注明“‘智能+场景’应用案例申报＋申报单位名称”；</w:t>
      </w:r>
    </w:p>
    <w:p w14:paraId="78585AD2">
      <w:pPr>
        <w:ind w:firstLine="480"/>
        <w:rPr>
          <w:lang w:eastAsia="zh-CN"/>
        </w:rPr>
      </w:pPr>
      <w:r>
        <w:rPr>
          <w:sz w:val="22"/>
          <w:szCs w:val="21"/>
          <w:lang w:eastAsia="zh-CN"/>
        </w:rPr>
        <w:t>（二）本次征集自本函发布之日起，至2026年12月31日止，逾期不再受理。</w:t>
      </w:r>
    </w:p>
    <w:p w14:paraId="45FB76A5">
      <w:pPr>
        <w:pStyle w:val="3"/>
        <w:shd w:val="clear" w:color="auto" w:fill="E8F5E9"/>
        <w:rPr>
          <w:rFonts w:eastAsia="黑体"/>
          <w:lang w:eastAsia="zh-CN"/>
        </w:rPr>
      </w:pPr>
      <w:r>
        <w:rPr>
          <w:rFonts w:ascii="Times New Roman" w:hAnsi="Times New Roman" w:eastAsia="黑体"/>
          <w:sz w:val="24"/>
          <w:szCs w:val="24"/>
          <w:lang w:eastAsia="zh-CN"/>
        </w:rPr>
        <w:t>六、成果应用与</w:t>
      </w:r>
      <w:r>
        <w:rPr>
          <w:rFonts w:hint="eastAsia" w:ascii="Times New Roman" w:hAnsi="Times New Roman" w:eastAsia="黑体"/>
          <w:sz w:val="24"/>
          <w:szCs w:val="24"/>
          <w:lang w:eastAsia="zh-CN"/>
        </w:rPr>
        <w:t>推广</w:t>
      </w:r>
    </w:p>
    <w:p w14:paraId="6E715D2D">
      <w:pPr>
        <w:ind w:firstLine="480"/>
        <w:rPr>
          <w:sz w:val="22"/>
          <w:szCs w:val="21"/>
          <w:lang w:eastAsia="zh-CN"/>
        </w:rPr>
      </w:pPr>
      <w:r>
        <w:rPr>
          <w:sz w:val="22"/>
          <w:szCs w:val="21"/>
          <w:lang w:eastAsia="zh-CN"/>
        </w:rPr>
        <w:t>（一）平台将组织行业专家对申报案例进行专业评审，</w:t>
      </w:r>
      <w:r>
        <w:rPr>
          <w:rFonts w:hint="eastAsia"/>
          <w:sz w:val="22"/>
          <w:szCs w:val="21"/>
          <w:lang w:val="en-US" w:eastAsia="zh-CN"/>
        </w:rPr>
        <w:t>符合条件的</w:t>
      </w:r>
      <w:r>
        <w:rPr>
          <w:sz w:val="22"/>
          <w:szCs w:val="21"/>
          <w:lang w:eastAsia="zh-CN"/>
        </w:rPr>
        <w:t>优秀案例纳入“环境产业‘智能+场景’应用优秀案例库”，作为行业示范与参考基准；</w:t>
      </w:r>
    </w:p>
    <w:p w14:paraId="3031B00A">
      <w:pPr>
        <w:ind w:firstLine="480"/>
        <w:rPr>
          <w:sz w:val="22"/>
          <w:szCs w:val="21"/>
          <w:lang w:eastAsia="zh-CN"/>
        </w:rPr>
      </w:pPr>
      <w:r>
        <w:rPr>
          <w:sz w:val="22"/>
          <w:szCs w:val="21"/>
          <w:lang w:eastAsia="zh-CN"/>
        </w:rPr>
        <w:t>（二）优秀案例将汇编形成《环境产业“智能+场景”应用优秀案例册》，于2027年4月在上海新国际博览中心举办的第二十八届中国环博会（上海环博会）期间公开发布与集中展示；</w:t>
      </w:r>
    </w:p>
    <w:p w14:paraId="7A89CF14">
      <w:pPr>
        <w:ind w:firstLine="480"/>
        <w:rPr>
          <w:sz w:val="22"/>
          <w:szCs w:val="21"/>
          <w:lang w:eastAsia="zh-CN"/>
        </w:rPr>
      </w:pPr>
      <w:r>
        <w:rPr>
          <w:sz w:val="22"/>
          <w:szCs w:val="21"/>
          <w:lang w:eastAsia="zh-CN"/>
        </w:rPr>
        <w:t>（三）平台将联合中国环博会设立“环境产业‘智能+场景’应用展示专区”，</w:t>
      </w:r>
      <w:r>
        <w:rPr>
          <w:rFonts w:hint="eastAsia"/>
          <w:sz w:val="22"/>
          <w:szCs w:val="21"/>
          <w:lang w:val="en-US" w:eastAsia="zh-CN"/>
        </w:rPr>
        <w:t>为</w:t>
      </w:r>
      <w:r>
        <w:rPr>
          <w:sz w:val="22"/>
          <w:szCs w:val="21"/>
          <w:lang w:eastAsia="zh-CN"/>
        </w:rPr>
        <w:t>代表性优秀案例提供现场实物展示场地，</w:t>
      </w:r>
      <w:r>
        <w:rPr>
          <w:rFonts w:hint="eastAsia"/>
          <w:sz w:val="22"/>
          <w:szCs w:val="21"/>
          <w:lang w:val="en-US" w:eastAsia="zh-CN"/>
        </w:rPr>
        <w:t>并现场直播宣传，</w:t>
      </w:r>
      <w:r>
        <w:rPr>
          <w:sz w:val="22"/>
          <w:szCs w:val="21"/>
          <w:lang w:eastAsia="zh-CN"/>
        </w:rPr>
        <w:t>面向海内外专业观众展示演示、对接洽谈；</w:t>
      </w:r>
    </w:p>
    <w:p w14:paraId="6DE4EB37">
      <w:pPr>
        <w:ind w:firstLine="480"/>
        <w:rPr>
          <w:sz w:val="22"/>
          <w:szCs w:val="21"/>
          <w:lang w:eastAsia="zh-CN"/>
        </w:rPr>
      </w:pPr>
      <w:r>
        <w:rPr>
          <w:sz w:val="22"/>
          <w:szCs w:val="21"/>
          <w:lang w:eastAsia="zh-CN"/>
        </w:rPr>
        <w:t>（四）优秀案例将通过E20环境平台媒体矩阵及行业论坛、展会等活动公开发布，提升申报单位的行业影响力与品牌</w:t>
      </w:r>
      <w:r>
        <w:rPr>
          <w:rFonts w:hint="eastAsia"/>
          <w:sz w:val="22"/>
          <w:szCs w:val="21"/>
          <w:lang w:eastAsia="zh-CN"/>
        </w:rPr>
        <w:t>知名度</w:t>
      </w:r>
      <w:r>
        <w:rPr>
          <w:sz w:val="22"/>
          <w:szCs w:val="21"/>
          <w:lang w:eastAsia="zh-CN"/>
        </w:rPr>
        <w:t>；</w:t>
      </w:r>
    </w:p>
    <w:p w14:paraId="1B51EDF3">
      <w:pPr>
        <w:ind w:firstLine="480"/>
        <w:rPr>
          <w:sz w:val="22"/>
          <w:szCs w:val="21"/>
          <w:lang w:eastAsia="zh-CN"/>
        </w:rPr>
      </w:pPr>
      <w:r>
        <w:rPr>
          <w:sz w:val="22"/>
          <w:szCs w:val="21"/>
          <w:lang w:eastAsia="zh-CN"/>
        </w:rPr>
        <w:t>（五）依托平台产业生态资源，面向行业头部企业及业主单位开展定向推荐与供需对接，推动优秀智能应用更大规模推广；</w:t>
      </w:r>
    </w:p>
    <w:p w14:paraId="5E403DA3">
      <w:pPr>
        <w:ind w:firstLine="480"/>
        <w:rPr>
          <w:sz w:val="22"/>
          <w:szCs w:val="21"/>
          <w:lang w:eastAsia="zh-CN"/>
        </w:rPr>
      </w:pPr>
      <w:r>
        <w:rPr>
          <w:sz w:val="22"/>
          <w:szCs w:val="21"/>
          <w:lang w:eastAsia="zh-CN"/>
        </w:rPr>
        <w:t>（六）优秀案例将优先推荐参与国家相关技术装备目录征集及行业评选活动，并纳入E20“领跑者”相关标准研制、评价与传播生态，持续跟踪推广。</w:t>
      </w:r>
    </w:p>
    <w:p w14:paraId="4943025D">
      <w:pPr>
        <w:pStyle w:val="3"/>
        <w:shd w:val="clear" w:color="auto" w:fill="E8F5E9"/>
        <w:rPr>
          <w:lang w:eastAsia="zh-CN"/>
        </w:rPr>
      </w:pPr>
      <w:r>
        <w:rPr>
          <w:rFonts w:ascii="Times New Roman" w:hAnsi="Times New Roman" w:eastAsia="黑体"/>
          <w:sz w:val="24"/>
          <w:szCs w:val="24"/>
          <w:lang w:eastAsia="zh-CN"/>
        </w:rPr>
        <w:t>七、联系方式</w:t>
      </w:r>
    </w:p>
    <w:p w14:paraId="66C79A4A">
      <w:pPr>
        <w:rPr>
          <w:sz w:val="22"/>
          <w:szCs w:val="21"/>
          <w:lang w:eastAsia="zh-CN"/>
        </w:rPr>
      </w:pPr>
      <w:r>
        <w:rPr>
          <w:sz w:val="22"/>
          <w:szCs w:val="21"/>
          <w:lang w:eastAsia="zh-CN"/>
        </w:rPr>
        <w:t>联 系 人：×××</w:t>
      </w:r>
      <w:r>
        <w:rPr>
          <w:rFonts w:hint="eastAsia"/>
          <w:sz w:val="22"/>
          <w:szCs w:val="21"/>
          <w:lang w:eastAsia="zh-CN"/>
        </w:rPr>
        <w:t>；</w:t>
      </w:r>
      <w:r>
        <w:rPr>
          <w:sz w:val="22"/>
          <w:szCs w:val="21"/>
          <w:lang w:eastAsia="zh-CN"/>
        </w:rPr>
        <w:t>联系电话：×××</w:t>
      </w:r>
      <w:r>
        <w:rPr>
          <w:rFonts w:hint="eastAsia"/>
          <w:sz w:val="22"/>
          <w:szCs w:val="21"/>
          <w:lang w:eastAsia="zh-CN"/>
        </w:rPr>
        <w:t>；</w:t>
      </w:r>
      <w:r>
        <w:rPr>
          <w:sz w:val="22"/>
          <w:szCs w:val="21"/>
          <w:lang w:eastAsia="zh-CN"/>
        </w:rPr>
        <w:t>电子邮箱：×××</w:t>
      </w:r>
    </w:p>
    <w:p w14:paraId="0A7D0C48">
      <w:pPr>
        <w:rPr>
          <w:sz w:val="22"/>
          <w:szCs w:val="21"/>
          <w:lang w:eastAsia="zh-CN"/>
        </w:rPr>
      </w:pPr>
      <w:r>
        <w:rPr>
          <w:sz w:val="22"/>
          <w:szCs w:val="21"/>
          <w:lang w:eastAsia="zh-CN"/>
        </w:rPr>
        <w:t>联系地址：北京市海淀区闵庄路3号四季慧谷4号楼E20栋</w:t>
      </w:r>
    </w:p>
    <w:p w14:paraId="282FBC49">
      <w:pPr>
        <w:ind w:firstLine="480"/>
        <w:rPr>
          <w:sz w:val="22"/>
          <w:szCs w:val="21"/>
          <w:lang w:eastAsia="zh-CN"/>
        </w:rPr>
      </w:pPr>
    </w:p>
    <w:p w14:paraId="53584166">
      <w:pPr>
        <w:ind w:firstLine="480"/>
        <w:rPr>
          <w:sz w:val="22"/>
          <w:szCs w:val="21"/>
          <w:lang w:eastAsia="zh-CN"/>
        </w:rPr>
      </w:pPr>
      <w:r>
        <w:rPr>
          <w:sz w:val="22"/>
          <w:szCs w:val="21"/>
          <w:lang w:eastAsia="zh-CN"/>
        </w:rPr>
        <w:t>欢迎各有关单位踊跃申报，携手智能之力，共创环境产业高质量发展新篇章。</w:t>
      </w:r>
    </w:p>
    <w:p w14:paraId="797C1595">
      <w:pPr>
        <w:spacing w:before="200"/>
        <w:jc w:val="right"/>
        <w:rPr>
          <w:szCs w:val="24"/>
          <w:lang w:eastAsia="zh-CN"/>
        </w:rPr>
      </w:pPr>
      <w:r>
        <w:rPr>
          <w:rFonts w:eastAsia="黑体"/>
          <w:b/>
          <w:color w:val="145C3B"/>
          <w:szCs w:val="24"/>
          <w:lang w:eastAsia="zh-CN"/>
        </w:rPr>
        <w:t>E20环境平台</w:t>
      </w:r>
    </w:p>
    <w:p w14:paraId="7D0FA8CB">
      <w:pPr>
        <w:jc w:val="right"/>
        <w:rPr>
          <w:szCs w:val="24"/>
          <w:lang w:eastAsia="zh-CN"/>
        </w:rPr>
      </w:pPr>
      <w:r>
        <w:rPr>
          <w:szCs w:val="24"/>
          <w:lang w:eastAsia="zh-CN"/>
        </w:rPr>
        <w:t>2026年10月</w:t>
      </w:r>
      <w:r>
        <w:rPr>
          <w:rFonts w:hint="eastAsia"/>
          <w:szCs w:val="24"/>
          <w:lang w:val="en-US" w:eastAsia="zh-CN"/>
        </w:rPr>
        <w:t>30</w:t>
      </w:r>
      <w:r>
        <w:rPr>
          <w:szCs w:val="24"/>
          <w:lang w:eastAsia="zh-CN"/>
        </w:rPr>
        <w:t>日</w:t>
      </w:r>
    </w:p>
    <w:p w14:paraId="44BD83A0">
      <w:pPr>
        <w:rPr>
          <w:szCs w:val="24"/>
          <w:lang w:eastAsia="zh-CN"/>
        </w:rPr>
      </w:pPr>
      <w:r>
        <w:rPr>
          <w:szCs w:val="24"/>
          <w:lang w:eastAsia="zh-CN"/>
        </w:rPr>
        <w:br w:type="page"/>
      </w:r>
    </w:p>
    <w:p w14:paraId="27367C9D">
      <w:pPr>
        <w:spacing w:after="80"/>
        <w:jc w:val="center"/>
        <w:rPr>
          <w:lang w:eastAsia="zh-CN"/>
        </w:rPr>
      </w:pPr>
      <w:r>
        <w:rPr>
          <w:rFonts w:eastAsia="黑体"/>
          <w:b/>
          <w:color w:val="000000"/>
          <w:sz w:val="32"/>
          <w:lang w:eastAsia="zh-CN"/>
        </w:rPr>
        <w:t>环境产业“智能+场景”应用案例申报表</w:t>
      </w:r>
    </w:p>
    <w:tbl>
      <w:tblPr>
        <w:tblStyle w:val="34"/>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9"/>
        <w:gridCol w:w="7075"/>
      </w:tblGrid>
      <w:tr w14:paraId="5370C052">
        <w:trPr>
          <w:jc w:val="center"/>
        </w:trPr>
        <w:tc>
          <w:tcPr>
            <w:tcW w:w="9174" w:type="dxa"/>
            <w:gridSpan w:val="2"/>
            <w:shd w:val="clear" w:color="auto" w:fill="2E7D32"/>
            <w:vAlign w:val="center"/>
          </w:tcPr>
          <w:p w14:paraId="62B67160">
            <w:pPr>
              <w:snapToGrid w:val="0"/>
              <w:spacing w:before="40" w:after="40" w:line="240" w:lineRule="auto"/>
              <w:jc w:val="center"/>
              <w:rPr>
                <w:lang w:eastAsia="zh-CN"/>
              </w:rPr>
            </w:pPr>
            <w:r>
              <w:rPr>
                <w:b/>
                <w:color w:val="FFFFFF"/>
                <w:sz w:val="22"/>
                <w:lang w:eastAsia="zh-CN"/>
              </w:rPr>
              <w:t>第一部分　申报单位基本信息</w:t>
            </w:r>
          </w:p>
        </w:tc>
      </w:tr>
      <w:tr w14:paraId="368047CD">
        <w:trPr>
          <w:jc w:val="center"/>
        </w:trPr>
        <w:tc>
          <w:tcPr>
            <w:tcW w:w="2099" w:type="dxa"/>
            <w:shd w:val="clear" w:color="auto" w:fill="E8F5E9"/>
            <w:vAlign w:val="center"/>
          </w:tcPr>
          <w:p w14:paraId="395F5607">
            <w:pPr>
              <w:snapToGrid w:val="0"/>
              <w:spacing w:before="40" w:after="40" w:line="240" w:lineRule="auto"/>
              <w:jc w:val="center"/>
              <w:rPr>
                <w:sz w:val="20"/>
                <w:szCs w:val="20"/>
              </w:rPr>
            </w:pPr>
            <w:r>
              <w:rPr>
                <w:b/>
                <w:sz w:val="20"/>
                <w:szCs w:val="20"/>
              </w:rPr>
              <w:t>申报单位名称</w:t>
            </w:r>
          </w:p>
        </w:tc>
        <w:tc>
          <w:tcPr>
            <w:tcW w:w="7075" w:type="dxa"/>
            <w:vAlign w:val="center"/>
          </w:tcPr>
          <w:p w14:paraId="26BFCB15">
            <w:pPr>
              <w:snapToGrid w:val="0"/>
              <w:spacing w:before="40" w:after="40" w:line="240" w:lineRule="auto"/>
              <w:jc w:val="center"/>
            </w:pPr>
          </w:p>
        </w:tc>
      </w:tr>
      <w:tr w14:paraId="0D612C46">
        <w:trPr>
          <w:trHeight w:val="475" w:hRule="atLeast"/>
          <w:jc w:val="center"/>
        </w:trPr>
        <w:tc>
          <w:tcPr>
            <w:tcW w:w="2099" w:type="dxa"/>
            <w:shd w:val="clear" w:color="auto" w:fill="E8F5E9"/>
            <w:vAlign w:val="center"/>
          </w:tcPr>
          <w:p w14:paraId="4EBBD7A7">
            <w:pPr>
              <w:snapToGrid w:val="0"/>
              <w:spacing w:before="40" w:after="40" w:line="240" w:lineRule="auto"/>
              <w:jc w:val="center"/>
              <w:rPr>
                <w:sz w:val="20"/>
                <w:szCs w:val="20"/>
              </w:rPr>
            </w:pPr>
            <w:r>
              <w:rPr>
                <w:b/>
                <w:sz w:val="20"/>
                <w:szCs w:val="20"/>
              </w:rPr>
              <w:t>单位类型</w:t>
            </w:r>
          </w:p>
        </w:tc>
        <w:tc>
          <w:tcPr>
            <w:tcW w:w="7075" w:type="dxa"/>
            <w:vAlign w:val="center"/>
          </w:tcPr>
          <w:p w14:paraId="0F7FCD37">
            <w:pPr>
              <w:snapToGrid w:val="0"/>
              <w:spacing w:before="40" w:after="40" w:line="240" w:lineRule="auto"/>
              <w:jc w:val="center"/>
              <w:rPr>
                <w:lang w:eastAsia="zh-CN"/>
              </w:rPr>
            </w:pPr>
            <w:r>
              <w:rPr>
                <w:rFonts w:hint="eastAsia"/>
                <w:sz w:val="21"/>
                <w:lang w:eastAsia="zh-CN"/>
              </w:rPr>
              <w:t>□</w:t>
            </w:r>
            <w:r>
              <w:rPr>
                <w:sz w:val="21"/>
                <w:lang w:eastAsia="zh-CN"/>
              </w:rPr>
              <w:t>装备制造　</w:t>
            </w:r>
            <w:r>
              <w:rPr>
                <w:rFonts w:hint="eastAsia"/>
                <w:sz w:val="21"/>
                <w:lang w:eastAsia="zh-CN"/>
              </w:rPr>
              <w:t>□</w:t>
            </w:r>
            <w:r>
              <w:rPr>
                <w:sz w:val="21"/>
                <w:lang w:eastAsia="zh-CN"/>
              </w:rPr>
              <w:t>技术服务　</w:t>
            </w:r>
            <w:r>
              <w:rPr>
                <w:rFonts w:hint="eastAsia"/>
                <w:sz w:val="21"/>
                <w:lang w:eastAsia="zh-CN"/>
              </w:rPr>
              <w:t>□</w:t>
            </w:r>
            <w:r>
              <w:rPr>
                <w:sz w:val="21"/>
                <w:lang w:eastAsia="zh-CN"/>
              </w:rPr>
              <w:t>运营服务　</w:t>
            </w:r>
            <w:r>
              <w:rPr>
                <w:rFonts w:hint="eastAsia"/>
                <w:sz w:val="21"/>
                <w:lang w:eastAsia="zh-CN"/>
              </w:rPr>
              <w:t>□</w:t>
            </w:r>
            <w:r>
              <w:rPr>
                <w:sz w:val="21"/>
                <w:lang w:eastAsia="zh-CN"/>
              </w:rPr>
              <w:t>科研院所　</w:t>
            </w:r>
            <w:r>
              <w:rPr>
                <w:rFonts w:hint="eastAsia"/>
                <w:sz w:val="21"/>
                <w:lang w:eastAsia="zh-CN"/>
              </w:rPr>
              <w:t>□</w:t>
            </w:r>
            <w:r>
              <w:rPr>
                <w:sz w:val="21"/>
                <w:lang w:eastAsia="zh-CN"/>
              </w:rPr>
              <w:t>其他</w:t>
            </w:r>
          </w:p>
        </w:tc>
      </w:tr>
      <w:tr w14:paraId="57EAB46F">
        <w:trPr>
          <w:trHeight w:val="541" w:hRule="atLeast"/>
          <w:jc w:val="center"/>
        </w:trPr>
        <w:tc>
          <w:tcPr>
            <w:tcW w:w="2099" w:type="dxa"/>
            <w:shd w:val="clear" w:color="auto" w:fill="E8F5E9"/>
            <w:vAlign w:val="center"/>
          </w:tcPr>
          <w:p w14:paraId="7653D0B2">
            <w:pPr>
              <w:snapToGrid w:val="0"/>
              <w:spacing w:before="40" w:after="40" w:line="240" w:lineRule="auto"/>
              <w:jc w:val="center"/>
              <w:rPr>
                <w:sz w:val="20"/>
                <w:szCs w:val="20"/>
              </w:rPr>
            </w:pPr>
            <w:r>
              <w:rPr>
                <w:b/>
                <w:sz w:val="20"/>
                <w:szCs w:val="20"/>
              </w:rPr>
              <w:t>联系人及职务</w:t>
            </w:r>
          </w:p>
        </w:tc>
        <w:tc>
          <w:tcPr>
            <w:tcW w:w="7075" w:type="dxa"/>
            <w:vAlign w:val="center"/>
          </w:tcPr>
          <w:p w14:paraId="213024CB">
            <w:pPr>
              <w:snapToGrid w:val="0"/>
              <w:spacing w:before="40" w:after="40" w:line="240" w:lineRule="auto"/>
              <w:jc w:val="center"/>
            </w:pPr>
          </w:p>
        </w:tc>
      </w:tr>
      <w:tr w14:paraId="67374E6D">
        <w:trPr>
          <w:trHeight w:val="550" w:hRule="atLeast"/>
          <w:jc w:val="center"/>
        </w:trPr>
        <w:tc>
          <w:tcPr>
            <w:tcW w:w="2099" w:type="dxa"/>
            <w:shd w:val="clear" w:color="auto" w:fill="E8F5E9"/>
            <w:vAlign w:val="center"/>
          </w:tcPr>
          <w:p w14:paraId="3630E64C">
            <w:pPr>
              <w:snapToGrid w:val="0"/>
              <w:spacing w:before="40" w:after="40" w:line="240" w:lineRule="auto"/>
              <w:jc w:val="center"/>
              <w:rPr>
                <w:sz w:val="20"/>
                <w:szCs w:val="20"/>
              </w:rPr>
            </w:pPr>
            <w:r>
              <w:rPr>
                <w:b/>
                <w:sz w:val="20"/>
                <w:szCs w:val="20"/>
              </w:rPr>
              <w:t>联系电话／电子邮箱</w:t>
            </w:r>
          </w:p>
        </w:tc>
        <w:tc>
          <w:tcPr>
            <w:tcW w:w="7075" w:type="dxa"/>
            <w:vAlign w:val="center"/>
          </w:tcPr>
          <w:p w14:paraId="2CAC6424">
            <w:pPr>
              <w:snapToGrid w:val="0"/>
              <w:spacing w:before="40" w:after="40" w:line="240" w:lineRule="auto"/>
              <w:jc w:val="center"/>
            </w:pPr>
            <w:bookmarkStart w:id="0" w:name="_GoBack"/>
            <w:bookmarkEnd w:id="0"/>
          </w:p>
        </w:tc>
      </w:tr>
      <w:tr w14:paraId="54691631">
        <w:trPr>
          <w:trHeight w:val="1668" w:hRule="atLeast"/>
          <w:jc w:val="center"/>
        </w:trPr>
        <w:tc>
          <w:tcPr>
            <w:tcW w:w="2099" w:type="dxa"/>
            <w:shd w:val="clear" w:color="auto" w:fill="E8F5E9"/>
            <w:vAlign w:val="center"/>
          </w:tcPr>
          <w:p w14:paraId="3834F8FE">
            <w:pPr>
              <w:snapToGrid w:val="0"/>
              <w:spacing w:before="40" w:after="40" w:line="240" w:lineRule="auto"/>
              <w:jc w:val="center"/>
              <w:rPr>
                <w:sz w:val="20"/>
                <w:szCs w:val="20"/>
              </w:rPr>
            </w:pPr>
            <w:r>
              <w:rPr>
                <w:b/>
                <w:sz w:val="20"/>
                <w:szCs w:val="20"/>
              </w:rPr>
              <w:t>单位简介</w:t>
            </w:r>
          </w:p>
        </w:tc>
        <w:tc>
          <w:tcPr>
            <w:tcW w:w="7075" w:type="dxa"/>
            <w:vAlign w:val="center"/>
          </w:tcPr>
          <w:p w14:paraId="76DE9325">
            <w:pPr>
              <w:snapToGrid w:val="0"/>
              <w:spacing w:before="40" w:after="40" w:line="240" w:lineRule="auto"/>
              <w:jc w:val="center"/>
            </w:pPr>
            <w:r>
              <w:rPr>
                <w:sz w:val="21"/>
              </w:rPr>
              <w:t>（200字以内）</w:t>
            </w:r>
          </w:p>
        </w:tc>
      </w:tr>
      <w:tr w14:paraId="4196A041">
        <w:trPr>
          <w:jc w:val="center"/>
        </w:trPr>
        <w:tc>
          <w:tcPr>
            <w:tcW w:w="9174" w:type="dxa"/>
            <w:gridSpan w:val="2"/>
            <w:shd w:val="clear" w:color="auto" w:fill="2E7D32"/>
            <w:vAlign w:val="center"/>
          </w:tcPr>
          <w:p w14:paraId="5B9747E4">
            <w:pPr>
              <w:snapToGrid w:val="0"/>
              <w:spacing w:before="40" w:after="40" w:line="240" w:lineRule="auto"/>
              <w:jc w:val="center"/>
            </w:pPr>
            <w:r>
              <w:rPr>
                <w:b/>
                <w:color w:val="FFFFFF"/>
                <w:sz w:val="22"/>
              </w:rPr>
              <w:t>第二部分　案例基本信息</w:t>
            </w:r>
          </w:p>
        </w:tc>
      </w:tr>
      <w:tr w14:paraId="32222B20">
        <w:trPr>
          <w:trHeight w:val="466" w:hRule="atLeast"/>
          <w:jc w:val="center"/>
        </w:trPr>
        <w:tc>
          <w:tcPr>
            <w:tcW w:w="2099" w:type="dxa"/>
            <w:shd w:val="clear" w:color="auto" w:fill="E8F5E9"/>
            <w:vAlign w:val="center"/>
          </w:tcPr>
          <w:p w14:paraId="6EAD83DE">
            <w:pPr>
              <w:snapToGrid w:val="0"/>
              <w:spacing w:before="40" w:after="40" w:line="240" w:lineRule="auto"/>
              <w:jc w:val="center"/>
              <w:rPr>
                <w:sz w:val="20"/>
                <w:szCs w:val="20"/>
              </w:rPr>
            </w:pPr>
            <w:r>
              <w:rPr>
                <w:b/>
                <w:sz w:val="20"/>
                <w:szCs w:val="20"/>
              </w:rPr>
              <w:t>所属征集方向</w:t>
            </w:r>
          </w:p>
        </w:tc>
        <w:tc>
          <w:tcPr>
            <w:tcW w:w="7075" w:type="dxa"/>
            <w:vAlign w:val="center"/>
          </w:tcPr>
          <w:p w14:paraId="2BACF421">
            <w:pPr>
              <w:snapToGrid w:val="0"/>
              <w:spacing w:before="40" w:after="40" w:line="240" w:lineRule="auto"/>
              <w:jc w:val="center"/>
            </w:pPr>
          </w:p>
        </w:tc>
      </w:tr>
      <w:tr w14:paraId="4AA10287">
        <w:trPr>
          <w:trHeight w:val="475" w:hRule="atLeast"/>
          <w:jc w:val="center"/>
        </w:trPr>
        <w:tc>
          <w:tcPr>
            <w:tcW w:w="2099" w:type="dxa"/>
            <w:shd w:val="clear" w:color="auto" w:fill="E8F5E9"/>
            <w:vAlign w:val="center"/>
          </w:tcPr>
          <w:p w14:paraId="68E6F401">
            <w:pPr>
              <w:snapToGrid w:val="0"/>
              <w:spacing w:before="40" w:after="40" w:line="240" w:lineRule="auto"/>
              <w:jc w:val="center"/>
              <w:rPr>
                <w:sz w:val="20"/>
                <w:szCs w:val="20"/>
              </w:rPr>
            </w:pPr>
            <w:r>
              <w:rPr>
                <w:b/>
                <w:sz w:val="20"/>
                <w:szCs w:val="20"/>
              </w:rPr>
              <w:t>案例落地情况</w:t>
            </w:r>
          </w:p>
        </w:tc>
        <w:tc>
          <w:tcPr>
            <w:tcW w:w="7075" w:type="dxa"/>
            <w:vAlign w:val="center"/>
          </w:tcPr>
          <w:p w14:paraId="29631F36">
            <w:pPr>
              <w:snapToGrid w:val="0"/>
              <w:spacing w:before="40" w:after="40" w:line="240" w:lineRule="auto"/>
              <w:jc w:val="center"/>
              <w:rPr>
                <w:lang w:eastAsia="zh-CN"/>
              </w:rPr>
            </w:pPr>
            <w:r>
              <w:rPr>
                <w:rFonts w:hint="eastAsia"/>
                <w:sz w:val="21"/>
                <w:lang w:eastAsia="zh-CN"/>
              </w:rPr>
              <w:t>□</w:t>
            </w:r>
            <w:r>
              <w:rPr>
                <w:sz w:val="21"/>
                <w:lang w:eastAsia="zh-CN"/>
              </w:rPr>
              <w:t xml:space="preserve"> 试点验证阶段（0到1）　</w:t>
            </w:r>
            <w:r>
              <w:rPr>
                <w:rFonts w:hint="eastAsia"/>
                <w:sz w:val="21"/>
                <w:lang w:eastAsia="zh-CN"/>
              </w:rPr>
              <w:t>□</w:t>
            </w:r>
            <w:r>
              <w:rPr>
                <w:sz w:val="21"/>
                <w:lang w:eastAsia="zh-CN"/>
              </w:rPr>
              <w:t xml:space="preserve"> 规模化推广阶段（1到N）</w:t>
            </w:r>
          </w:p>
        </w:tc>
      </w:tr>
      <w:tr w14:paraId="38AB6BF2">
        <w:trPr>
          <w:trHeight w:val="429" w:hRule="atLeast"/>
          <w:jc w:val="center"/>
        </w:trPr>
        <w:tc>
          <w:tcPr>
            <w:tcW w:w="2099" w:type="dxa"/>
            <w:shd w:val="clear" w:color="auto" w:fill="E8F5E9"/>
            <w:vAlign w:val="center"/>
          </w:tcPr>
          <w:p w14:paraId="662CDA8B">
            <w:pPr>
              <w:snapToGrid w:val="0"/>
              <w:spacing w:before="40" w:after="40" w:line="240" w:lineRule="auto"/>
              <w:jc w:val="center"/>
              <w:rPr>
                <w:sz w:val="20"/>
                <w:szCs w:val="20"/>
              </w:rPr>
            </w:pPr>
            <w:r>
              <w:rPr>
                <w:b/>
                <w:sz w:val="20"/>
                <w:szCs w:val="20"/>
              </w:rPr>
              <w:t>装备／系统名称</w:t>
            </w:r>
          </w:p>
        </w:tc>
        <w:tc>
          <w:tcPr>
            <w:tcW w:w="7075" w:type="dxa"/>
            <w:vAlign w:val="center"/>
          </w:tcPr>
          <w:p w14:paraId="1195077A">
            <w:pPr>
              <w:snapToGrid w:val="0"/>
              <w:spacing w:before="40" w:after="40" w:line="240" w:lineRule="auto"/>
              <w:jc w:val="center"/>
            </w:pPr>
          </w:p>
        </w:tc>
      </w:tr>
      <w:tr w14:paraId="124622B2">
        <w:trPr>
          <w:trHeight w:val="502" w:hRule="atLeast"/>
          <w:jc w:val="center"/>
        </w:trPr>
        <w:tc>
          <w:tcPr>
            <w:tcW w:w="2099" w:type="dxa"/>
            <w:shd w:val="clear" w:color="auto" w:fill="E8F5E9"/>
            <w:vAlign w:val="center"/>
          </w:tcPr>
          <w:p w14:paraId="5B50057E">
            <w:pPr>
              <w:snapToGrid w:val="0"/>
              <w:spacing w:before="40" w:after="40" w:line="240" w:lineRule="auto"/>
              <w:jc w:val="center"/>
              <w:rPr>
                <w:b/>
                <w:sz w:val="20"/>
                <w:szCs w:val="20"/>
              </w:rPr>
            </w:pPr>
            <w:r>
              <w:rPr>
                <w:rFonts w:hint="eastAsia"/>
                <w:b/>
                <w:sz w:val="20"/>
                <w:szCs w:val="20"/>
              </w:rPr>
              <w:t>应用对象与规模</w:t>
            </w:r>
          </w:p>
        </w:tc>
        <w:tc>
          <w:tcPr>
            <w:tcW w:w="7075" w:type="dxa"/>
            <w:vAlign w:val="center"/>
          </w:tcPr>
          <w:p w14:paraId="19C96552">
            <w:pPr>
              <w:snapToGrid w:val="0"/>
              <w:spacing w:before="40" w:after="40" w:line="240" w:lineRule="auto"/>
              <w:jc w:val="center"/>
              <w:rPr>
                <w:b w:val="0"/>
                <w:color w:val="auto"/>
                <w:sz w:val="21"/>
                <w:lang w:eastAsia="zh-CN"/>
              </w:rPr>
            </w:pPr>
            <w:r>
              <w:rPr>
                <w:rFonts w:hint="eastAsia"/>
                <w:b w:val="0"/>
                <w:color w:val="auto"/>
                <w:sz w:val="21"/>
                <w:lang w:eastAsia="zh-CN"/>
              </w:rPr>
              <w:t>（处理能力、设备台套数等，注明单位）</w:t>
            </w:r>
          </w:p>
        </w:tc>
      </w:tr>
      <w:tr w14:paraId="0723DE7F">
        <w:trPr>
          <w:trHeight w:val="499" w:hRule="atLeast"/>
          <w:jc w:val="center"/>
        </w:trPr>
        <w:tc>
          <w:tcPr>
            <w:tcW w:w="2099" w:type="dxa"/>
            <w:shd w:val="clear" w:color="auto" w:fill="E8F5E9"/>
            <w:vAlign w:val="center"/>
          </w:tcPr>
          <w:p w14:paraId="6B79C052">
            <w:pPr>
              <w:snapToGrid w:val="0"/>
              <w:spacing w:before="40" w:after="40" w:line="240" w:lineRule="auto"/>
              <w:jc w:val="center"/>
              <w:rPr>
                <w:b/>
                <w:sz w:val="20"/>
                <w:szCs w:val="20"/>
              </w:rPr>
            </w:pPr>
            <w:r>
              <w:rPr>
                <w:b/>
                <w:sz w:val="20"/>
                <w:szCs w:val="20"/>
              </w:rPr>
              <w:t>上线时间与运行时长</w:t>
            </w:r>
          </w:p>
        </w:tc>
        <w:tc>
          <w:tcPr>
            <w:tcW w:w="7075" w:type="dxa"/>
            <w:vAlign w:val="center"/>
          </w:tcPr>
          <w:p w14:paraId="29C73130">
            <w:pPr>
              <w:snapToGrid w:val="0"/>
              <w:spacing w:before="40" w:after="40" w:line="240" w:lineRule="auto"/>
              <w:jc w:val="center"/>
              <w:rPr>
                <w:b w:val="0"/>
                <w:color w:val="auto"/>
                <w:sz w:val="21"/>
                <w:lang w:eastAsia="zh-CN"/>
              </w:rPr>
            </w:pPr>
            <w:r>
              <w:rPr>
                <w:rFonts w:hint="eastAsia"/>
                <w:b w:val="0"/>
                <w:color w:val="auto"/>
                <w:sz w:val="21"/>
                <w:lang w:eastAsia="zh-CN"/>
              </w:rPr>
              <w:t>（首次上线时间、累计连续稳定运行时长）</w:t>
            </w:r>
          </w:p>
        </w:tc>
      </w:tr>
      <w:tr w14:paraId="2C864260">
        <w:trPr>
          <w:trHeight w:val="463" w:hRule="atLeast"/>
          <w:jc w:val="center"/>
        </w:trPr>
        <w:tc>
          <w:tcPr>
            <w:tcW w:w="2099" w:type="dxa"/>
            <w:shd w:val="clear" w:color="auto" w:fill="E8F5E9"/>
            <w:vAlign w:val="center"/>
          </w:tcPr>
          <w:p w14:paraId="5930219B">
            <w:pPr>
              <w:snapToGrid w:val="0"/>
              <w:spacing w:before="40" w:after="40" w:line="240" w:lineRule="auto"/>
              <w:jc w:val="center"/>
              <w:rPr>
                <w:sz w:val="20"/>
                <w:szCs w:val="20"/>
              </w:rPr>
            </w:pPr>
            <w:r>
              <w:rPr>
                <w:b/>
                <w:sz w:val="20"/>
                <w:szCs w:val="20"/>
              </w:rPr>
              <w:t>环博会实物展示意向</w:t>
            </w:r>
          </w:p>
        </w:tc>
        <w:tc>
          <w:tcPr>
            <w:tcW w:w="7075" w:type="dxa"/>
            <w:vAlign w:val="center"/>
          </w:tcPr>
          <w:p w14:paraId="08ED547E">
            <w:pPr>
              <w:snapToGrid w:val="0"/>
              <w:spacing w:before="40" w:after="40" w:line="240" w:lineRule="auto"/>
              <w:jc w:val="center"/>
              <w:rPr>
                <w:lang w:eastAsia="zh-CN"/>
              </w:rPr>
            </w:pPr>
            <w:r>
              <w:rPr>
                <w:rFonts w:hint="eastAsia"/>
                <w:sz w:val="21"/>
                <w:lang w:eastAsia="zh-CN"/>
              </w:rPr>
              <w:t>□</w:t>
            </w:r>
            <w:r>
              <w:rPr>
                <w:sz w:val="21"/>
                <w:lang w:eastAsia="zh-CN"/>
              </w:rPr>
              <w:t xml:space="preserve"> 有意向　</w:t>
            </w:r>
            <w:r>
              <w:rPr>
                <w:rFonts w:hint="eastAsia"/>
                <w:sz w:val="21"/>
                <w:lang w:eastAsia="zh-CN"/>
              </w:rPr>
              <w:t>□</w:t>
            </w:r>
            <w:r>
              <w:rPr>
                <w:sz w:val="21"/>
                <w:lang w:eastAsia="zh-CN"/>
              </w:rPr>
              <w:t xml:space="preserve"> 无意向</w:t>
            </w:r>
          </w:p>
        </w:tc>
      </w:tr>
      <w:tr w14:paraId="39E51134">
        <w:trPr>
          <w:jc w:val="center"/>
        </w:trPr>
        <w:tc>
          <w:tcPr>
            <w:tcW w:w="2099" w:type="dxa"/>
            <w:shd w:val="clear" w:color="auto" w:fill="E8F5E9"/>
            <w:vAlign w:val="center"/>
          </w:tcPr>
          <w:p w14:paraId="7626028A">
            <w:pPr>
              <w:snapToGrid w:val="0"/>
              <w:spacing w:before="40" w:after="40" w:line="240" w:lineRule="auto"/>
              <w:jc w:val="center"/>
              <w:rPr>
                <w:b/>
                <w:sz w:val="20"/>
                <w:szCs w:val="20"/>
                <w:lang w:eastAsia="zh-CN"/>
              </w:rPr>
            </w:pPr>
            <w:r>
              <w:rPr>
                <w:rFonts w:hint="eastAsia"/>
                <w:b/>
                <w:sz w:val="20"/>
                <w:szCs w:val="20"/>
                <w:lang w:eastAsia="zh-CN"/>
              </w:rPr>
              <w:t xml:space="preserve"> 展示尺寸/重量/供电需求</w:t>
            </w:r>
          </w:p>
        </w:tc>
        <w:tc>
          <w:tcPr>
            <w:tcW w:w="7075" w:type="dxa"/>
            <w:vAlign w:val="center"/>
          </w:tcPr>
          <w:p w14:paraId="25601CFE">
            <w:pPr>
              <w:snapToGrid w:val="0"/>
              <w:spacing w:before="40" w:after="40" w:line="240" w:lineRule="auto"/>
              <w:jc w:val="left"/>
              <w:rPr>
                <w:b/>
                <w:color w:val="FFFFFF"/>
                <w:sz w:val="22"/>
                <w:lang w:eastAsia="zh-CN"/>
              </w:rPr>
            </w:pPr>
            <w:r>
              <w:rPr>
                <w:sz w:val="21"/>
                <w:lang w:eastAsia="zh-CN"/>
              </w:rPr>
              <w:t>（</w:t>
            </w:r>
            <w:r>
              <w:rPr>
                <w:rFonts w:hint="eastAsia"/>
                <w:sz w:val="21"/>
                <w:lang w:eastAsia="zh-CN"/>
              </w:rPr>
              <w:t>无意向展示可不填</w:t>
            </w:r>
            <w:r>
              <w:rPr>
                <w:sz w:val="21"/>
                <w:lang w:eastAsia="zh-CN"/>
              </w:rPr>
              <w:t>）</w:t>
            </w:r>
          </w:p>
        </w:tc>
      </w:tr>
      <w:tr w14:paraId="08AE26C1">
        <w:trPr>
          <w:trHeight w:val="524" w:hRule="atLeast"/>
          <w:jc w:val="center"/>
        </w:trPr>
        <w:tc>
          <w:tcPr>
            <w:tcW w:w="2099" w:type="dxa"/>
            <w:shd w:val="clear" w:color="auto" w:fill="E8F5E9"/>
            <w:vAlign w:val="center"/>
          </w:tcPr>
          <w:p w14:paraId="4425B148">
            <w:pPr>
              <w:snapToGrid w:val="0"/>
              <w:spacing w:before="40" w:after="40" w:line="240" w:lineRule="auto"/>
              <w:jc w:val="center"/>
              <w:rPr>
                <w:rFonts w:hint="default"/>
                <w:b/>
                <w:sz w:val="20"/>
                <w:szCs w:val="20"/>
                <w:lang w:val="en-US" w:eastAsia="zh-CN"/>
              </w:rPr>
            </w:pPr>
            <w:r>
              <w:rPr>
                <w:rFonts w:hint="eastAsia"/>
                <w:b/>
                <w:sz w:val="20"/>
                <w:szCs w:val="20"/>
                <w:lang w:eastAsia="zh-CN"/>
              </w:rPr>
              <w:t>展示</w:t>
            </w:r>
            <w:r>
              <w:rPr>
                <w:rFonts w:hint="eastAsia"/>
                <w:b/>
                <w:sz w:val="20"/>
                <w:szCs w:val="20"/>
                <w:lang w:val="en-US" w:eastAsia="zh-CN"/>
              </w:rPr>
              <w:t>装备/系统实景图</w:t>
            </w:r>
          </w:p>
        </w:tc>
        <w:tc>
          <w:tcPr>
            <w:tcW w:w="7075" w:type="dxa"/>
            <w:vAlign w:val="center"/>
          </w:tcPr>
          <w:p w14:paraId="3031F61C">
            <w:pPr>
              <w:snapToGrid w:val="0"/>
              <w:spacing w:before="40" w:after="40" w:line="240" w:lineRule="auto"/>
              <w:jc w:val="left"/>
              <w:rPr>
                <w:sz w:val="21"/>
                <w:lang w:eastAsia="zh-CN"/>
              </w:rPr>
            </w:pPr>
            <w:r>
              <w:rPr>
                <w:sz w:val="21"/>
                <w:lang w:eastAsia="zh-CN"/>
              </w:rPr>
              <w:t>（</w:t>
            </w:r>
            <w:r>
              <w:rPr>
                <w:rFonts w:hint="eastAsia"/>
                <w:sz w:val="21"/>
                <w:lang w:eastAsia="zh-CN"/>
              </w:rPr>
              <w:t>无意向展示可不填</w:t>
            </w:r>
            <w:r>
              <w:rPr>
                <w:sz w:val="21"/>
                <w:lang w:eastAsia="zh-CN"/>
              </w:rPr>
              <w:t>）</w:t>
            </w:r>
          </w:p>
        </w:tc>
      </w:tr>
      <w:tr w14:paraId="0D5F4C31">
        <w:trPr>
          <w:tblHeader/>
          <w:jc w:val="center"/>
        </w:trPr>
        <w:tc>
          <w:tcPr>
            <w:tcW w:w="9174" w:type="dxa"/>
            <w:gridSpan w:val="2"/>
            <w:shd w:val="clear" w:color="auto" w:fill="2E7D32"/>
            <w:vAlign w:val="center"/>
          </w:tcPr>
          <w:p w14:paraId="04F7BBF4">
            <w:pPr>
              <w:snapToGrid w:val="0"/>
              <w:spacing w:before="40" w:after="40" w:line="240" w:lineRule="auto"/>
              <w:jc w:val="center"/>
              <w:rPr>
                <w:lang w:eastAsia="zh-CN"/>
              </w:rPr>
            </w:pPr>
            <w:r>
              <w:rPr>
                <w:b/>
                <w:color w:val="FFFFFF"/>
                <w:sz w:val="22"/>
                <w:lang w:eastAsia="zh-CN"/>
              </w:rPr>
              <w:t>第三部分　应用场景与技术方案</w:t>
            </w:r>
          </w:p>
        </w:tc>
      </w:tr>
      <w:tr w14:paraId="52164C95">
        <w:trPr>
          <w:trHeight w:val="1802" w:hRule="atLeast"/>
          <w:jc w:val="center"/>
        </w:trPr>
        <w:tc>
          <w:tcPr>
            <w:tcW w:w="2099" w:type="dxa"/>
            <w:shd w:val="clear" w:color="auto" w:fill="E8F5E9"/>
            <w:vAlign w:val="center"/>
          </w:tcPr>
          <w:p w14:paraId="5C10FCFC">
            <w:pPr>
              <w:snapToGrid w:val="0"/>
              <w:spacing w:before="40" w:after="40" w:line="240" w:lineRule="auto"/>
              <w:jc w:val="center"/>
              <w:rPr>
                <w:sz w:val="20"/>
                <w:szCs w:val="20"/>
              </w:rPr>
            </w:pPr>
            <w:r>
              <w:rPr>
                <w:b/>
                <w:sz w:val="20"/>
                <w:szCs w:val="20"/>
              </w:rPr>
              <w:t>应用场景描述</w:t>
            </w:r>
          </w:p>
        </w:tc>
        <w:tc>
          <w:tcPr>
            <w:tcW w:w="7075" w:type="dxa"/>
            <w:vAlign w:val="center"/>
          </w:tcPr>
          <w:p w14:paraId="04DD7A7A">
            <w:pPr>
              <w:snapToGrid w:val="0"/>
              <w:spacing w:before="40" w:after="40" w:line="240" w:lineRule="auto"/>
              <w:jc w:val="left"/>
              <w:rPr>
                <w:lang w:eastAsia="zh-CN"/>
              </w:rPr>
            </w:pPr>
            <w:r>
              <w:rPr>
                <w:sz w:val="21"/>
                <w:lang w:eastAsia="zh-CN"/>
              </w:rPr>
              <w:t>（业务</w:t>
            </w:r>
            <w:r>
              <w:rPr>
                <w:rFonts w:hint="eastAsia"/>
                <w:sz w:val="21"/>
                <w:lang w:val="en-US" w:eastAsia="zh-CN"/>
              </w:rPr>
              <w:t>原有</w:t>
            </w:r>
            <w:r>
              <w:rPr>
                <w:sz w:val="21"/>
                <w:lang w:eastAsia="zh-CN"/>
              </w:rPr>
              <w:t>痛点、</w:t>
            </w:r>
            <w:r>
              <w:rPr>
                <w:rFonts w:hint="eastAsia"/>
                <w:sz w:val="21"/>
                <w:lang w:val="en-US" w:eastAsia="zh-CN"/>
              </w:rPr>
              <w:t>原有</w:t>
            </w:r>
            <w:r>
              <w:rPr>
                <w:sz w:val="21"/>
                <w:lang w:eastAsia="zh-CN"/>
              </w:rPr>
              <w:t>作业流程与</w:t>
            </w:r>
            <w:r>
              <w:rPr>
                <w:rFonts w:hint="eastAsia"/>
                <w:sz w:val="21"/>
                <w:lang w:val="en-US" w:eastAsia="zh-CN"/>
              </w:rPr>
              <w:t>场景</w:t>
            </w:r>
            <w:r>
              <w:rPr>
                <w:sz w:val="21"/>
                <w:lang w:eastAsia="zh-CN"/>
              </w:rPr>
              <w:t>特点，300字以内）</w:t>
            </w:r>
          </w:p>
        </w:tc>
      </w:tr>
      <w:tr w14:paraId="502D028A">
        <w:trPr>
          <w:trHeight w:val="2234" w:hRule="atLeast"/>
          <w:jc w:val="center"/>
        </w:trPr>
        <w:tc>
          <w:tcPr>
            <w:tcW w:w="2099" w:type="dxa"/>
            <w:shd w:val="clear" w:color="auto" w:fill="E8F5E9"/>
            <w:vAlign w:val="center"/>
          </w:tcPr>
          <w:p w14:paraId="058EA9A1">
            <w:pPr>
              <w:snapToGrid w:val="0"/>
              <w:spacing w:before="40" w:after="40" w:line="240" w:lineRule="auto"/>
              <w:jc w:val="center"/>
              <w:rPr>
                <w:sz w:val="20"/>
                <w:szCs w:val="20"/>
              </w:rPr>
            </w:pPr>
            <w:r>
              <w:rPr>
                <w:b/>
                <w:sz w:val="20"/>
                <w:szCs w:val="20"/>
              </w:rPr>
              <w:t>技术方案概述</w:t>
            </w:r>
          </w:p>
        </w:tc>
        <w:tc>
          <w:tcPr>
            <w:tcW w:w="7075" w:type="dxa"/>
            <w:vAlign w:val="center"/>
          </w:tcPr>
          <w:p w14:paraId="357E43EB">
            <w:pPr>
              <w:snapToGrid w:val="0"/>
              <w:spacing w:before="40" w:after="40" w:line="240" w:lineRule="auto"/>
              <w:jc w:val="left"/>
              <w:rPr>
                <w:lang w:eastAsia="zh-CN"/>
              </w:rPr>
            </w:pPr>
            <w:r>
              <w:rPr>
                <w:sz w:val="21"/>
                <w:lang w:eastAsia="zh-CN"/>
              </w:rPr>
              <w:t>（技术路线、装备构成与系统架构，500字以内）</w:t>
            </w:r>
          </w:p>
        </w:tc>
      </w:tr>
      <w:tr w14:paraId="505F1027">
        <w:trPr>
          <w:trHeight w:val="1633" w:hRule="atLeast"/>
          <w:jc w:val="center"/>
        </w:trPr>
        <w:tc>
          <w:tcPr>
            <w:tcW w:w="2099" w:type="dxa"/>
            <w:shd w:val="clear" w:color="auto" w:fill="E8F5E9"/>
            <w:vAlign w:val="center"/>
          </w:tcPr>
          <w:p w14:paraId="70616A17">
            <w:pPr>
              <w:snapToGrid w:val="0"/>
              <w:spacing w:before="40" w:after="40" w:line="240" w:lineRule="auto"/>
              <w:jc w:val="center"/>
              <w:rPr>
                <w:sz w:val="20"/>
                <w:szCs w:val="20"/>
              </w:rPr>
            </w:pPr>
            <w:r>
              <w:rPr>
                <w:b/>
                <w:sz w:val="20"/>
                <w:szCs w:val="20"/>
              </w:rPr>
              <w:t>关键技术与创新点</w:t>
            </w:r>
          </w:p>
        </w:tc>
        <w:tc>
          <w:tcPr>
            <w:tcW w:w="7075" w:type="dxa"/>
            <w:vAlign w:val="center"/>
          </w:tcPr>
          <w:p w14:paraId="139379F0">
            <w:pPr>
              <w:snapToGrid w:val="0"/>
              <w:spacing w:before="40" w:after="40" w:line="240" w:lineRule="auto"/>
              <w:jc w:val="left"/>
              <w:rPr>
                <w:lang w:eastAsia="zh-CN"/>
              </w:rPr>
            </w:pPr>
            <w:r>
              <w:rPr>
                <w:sz w:val="21"/>
                <w:lang w:eastAsia="zh-CN"/>
              </w:rPr>
              <w:t>（相较既有方案的差异化优势）</w:t>
            </w:r>
          </w:p>
        </w:tc>
      </w:tr>
      <w:tr w14:paraId="47CF3C42">
        <w:trPr>
          <w:trHeight w:val="1355" w:hRule="atLeast"/>
          <w:jc w:val="center"/>
        </w:trPr>
        <w:tc>
          <w:tcPr>
            <w:tcW w:w="2099" w:type="dxa"/>
            <w:shd w:val="clear" w:color="auto" w:fill="E8F5E9"/>
            <w:vAlign w:val="center"/>
          </w:tcPr>
          <w:p w14:paraId="70FA03D8">
            <w:pPr>
              <w:snapToGrid w:val="0"/>
              <w:spacing w:before="40" w:after="40" w:line="240" w:lineRule="auto"/>
              <w:jc w:val="center"/>
              <w:rPr>
                <w:sz w:val="20"/>
                <w:szCs w:val="20"/>
              </w:rPr>
            </w:pPr>
            <w:r>
              <w:rPr>
                <w:b/>
                <w:sz w:val="20"/>
                <w:szCs w:val="20"/>
              </w:rPr>
              <w:t>智能化要素应用</w:t>
            </w:r>
          </w:p>
        </w:tc>
        <w:tc>
          <w:tcPr>
            <w:tcW w:w="7075" w:type="dxa"/>
            <w:vAlign w:val="center"/>
          </w:tcPr>
          <w:p w14:paraId="2336170F">
            <w:pPr>
              <w:snapToGrid w:val="0"/>
              <w:spacing w:before="40" w:after="40" w:line="240" w:lineRule="auto"/>
              <w:jc w:val="left"/>
              <w:rPr>
                <w:lang w:eastAsia="zh-CN"/>
              </w:rPr>
            </w:pPr>
            <w:r>
              <w:rPr>
                <w:sz w:val="21"/>
                <w:lang w:eastAsia="zh-CN"/>
              </w:rPr>
              <w:t>（AI、机器人、无人驾驶、数字孪生、物联网等应用</w:t>
            </w:r>
            <w:r>
              <w:rPr>
                <w:rFonts w:hint="eastAsia"/>
                <w:sz w:val="21"/>
                <w:lang w:eastAsia="zh-CN"/>
              </w:rPr>
              <w:t>及协同互联</w:t>
            </w:r>
            <w:r>
              <w:rPr>
                <w:sz w:val="21"/>
                <w:lang w:eastAsia="zh-CN"/>
              </w:rPr>
              <w:t>情况）</w:t>
            </w:r>
          </w:p>
        </w:tc>
      </w:tr>
      <w:tr w14:paraId="71870903">
        <w:trPr>
          <w:trHeight w:val="502" w:hRule="atLeast"/>
          <w:tblHeader/>
          <w:jc w:val="center"/>
        </w:trPr>
        <w:tc>
          <w:tcPr>
            <w:tcW w:w="9174" w:type="dxa"/>
            <w:gridSpan w:val="2"/>
            <w:shd w:val="clear" w:color="auto" w:fill="2E7D32"/>
            <w:vAlign w:val="center"/>
          </w:tcPr>
          <w:p w14:paraId="60C78955">
            <w:pPr>
              <w:snapToGrid w:val="0"/>
              <w:spacing w:before="40" w:after="40" w:line="240" w:lineRule="auto"/>
              <w:jc w:val="center"/>
            </w:pPr>
            <w:r>
              <w:rPr>
                <w:b/>
                <w:color w:val="FFFFFF"/>
                <w:sz w:val="22"/>
              </w:rPr>
              <w:t>第四部分　实施效果</w:t>
            </w:r>
          </w:p>
        </w:tc>
      </w:tr>
      <w:tr w14:paraId="6580BD7F">
        <w:trPr>
          <w:trHeight w:val="1922" w:hRule="atLeast"/>
          <w:jc w:val="center"/>
        </w:trPr>
        <w:tc>
          <w:tcPr>
            <w:tcW w:w="2099" w:type="dxa"/>
            <w:shd w:val="clear" w:color="auto" w:fill="E8F5E9"/>
            <w:vAlign w:val="center"/>
          </w:tcPr>
          <w:p w14:paraId="617A2266">
            <w:pPr>
              <w:snapToGrid w:val="0"/>
              <w:spacing w:before="40" w:after="40" w:line="240" w:lineRule="auto"/>
              <w:jc w:val="center"/>
              <w:rPr>
                <w:sz w:val="21"/>
              </w:rPr>
            </w:pPr>
            <w:r>
              <w:rPr>
                <w:b/>
                <w:sz w:val="20"/>
                <w:szCs w:val="20"/>
              </w:rPr>
              <w:t>量化效果指标</w:t>
            </w:r>
          </w:p>
        </w:tc>
        <w:tc>
          <w:tcPr>
            <w:tcW w:w="7075" w:type="dxa"/>
            <w:vAlign w:val="center"/>
          </w:tcPr>
          <w:p w14:paraId="44988489">
            <w:pPr>
              <w:snapToGrid w:val="0"/>
              <w:spacing w:before="40" w:after="40" w:line="240" w:lineRule="auto"/>
              <w:jc w:val="left"/>
              <w:rPr>
                <w:sz w:val="21"/>
                <w:lang w:eastAsia="zh-CN"/>
              </w:rPr>
            </w:pPr>
            <w:r>
              <w:rPr>
                <w:sz w:val="21"/>
                <w:lang w:eastAsia="zh-CN"/>
              </w:rPr>
              <w:t>（效率、成本、能耗、排放、人工替代等，注明统计口径与对比基线）</w:t>
            </w:r>
          </w:p>
        </w:tc>
      </w:tr>
      <w:tr w14:paraId="35C8F6FA">
        <w:trPr>
          <w:trHeight w:val="490" w:hRule="atLeast"/>
          <w:tblHeader/>
          <w:jc w:val="center"/>
        </w:trPr>
        <w:tc>
          <w:tcPr>
            <w:tcW w:w="9174" w:type="dxa"/>
            <w:gridSpan w:val="2"/>
            <w:shd w:val="clear" w:color="auto" w:fill="2E7D32"/>
            <w:vAlign w:val="center"/>
          </w:tcPr>
          <w:p w14:paraId="28C11374">
            <w:pPr>
              <w:snapToGrid w:val="0"/>
              <w:spacing w:before="40" w:after="40" w:line="240" w:lineRule="auto"/>
              <w:jc w:val="center"/>
            </w:pPr>
            <w:r>
              <w:rPr>
                <w:b/>
                <w:color w:val="FFFFFF"/>
                <w:sz w:val="22"/>
              </w:rPr>
              <w:t>第五部分　推广价值</w:t>
            </w:r>
          </w:p>
        </w:tc>
      </w:tr>
      <w:tr w14:paraId="1E5DDE1B">
        <w:trPr>
          <w:trHeight w:val="1857" w:hRule="atLeast"/>
          <w:jc w:val="center"/>
        </w:trPr>
        <w:tc>
          <w:tcPr>
            <w:tcW w:w="2099" w:type="dxa"/>
            <w:shd w:val="clear" w:color="auto" w:fill="E8F5E9"/>
            <w:vAlign w:val="center"/>
          </w:tcPr>
          <w:p w14:paraId="3C7A4284">
            <w:pPr>
              <w:snapToGrid w:val="0"/>
              <w:spacing w:before="40" w:after="40" w:line="240" w:lineRule="auto"/>
              <w:jc w:val="center"/>
              <w:rPr>
                <w:sz w:val="20"/>
                <w:szCs w:val="20"/>
              </w:rPr>
            </w:pPr>
            <w:r>
              <w:rPr>
                <w:b/>
                <w:sz w:val="20"/>
                <w:szCs w:val="20"/>
              </w:rPr>
              <w:t>可复制性与推广场景</w:t>
            </w:r>
          </w:p>
        </w:tc>
        <w:tc>
          <w:tcPr>
            <w:tcW w:w="7075" w:type="dxa"/>
            <w:vAlign w:val="center"/>
          </w:tcPr>
          <w:p w14:paraId="2332F1A0">
            <w:pPr>
              <w:snapToGrid w:val="0"/>
              <w:spacing w:before="40" w:after="40" w:line="240" w:lineRule="auto"/>
              <w:jc w:val="center"/>
              <w:rPr>
                <w:sz w:val="21"/>
              </w:rPr>
            </w:pPr>
          </w:p>
        </w:tc>
      </w:tr>
      <w:tr w14:paraId="5C2385A9">
        <w:trPr>
          <w:trHeight w:val="2173" w:hRule="atLeast"/>
          <w:jc w:val="center"/>
        </w:trPr>
        <w:tc>
          <w:tcPr>
            <w:tcW w:w="2099" w:type="dxa"/>
            <w:shd w:val="clear" w:color="auto" w:fill="E8F5E9"/>
            <w:vAlign w:val="center"/>
          </w:tcPr>
          <w:p w14:paraId="4ACBFFE7">
            <w:pPr>
              <w:snapToGrid w:val="0"/>
              <w:spacing w:before="40" w:after="40" w:line="240" w:lineRule="auto"/>
              <w:jc w:val="center"/>
              <w:rPr>
                <w:sz w:val="20"/>
                <w:szCs w:val="20"/>
              </w:rPr>
            </w:pPr>
            <w:r>
              <w:rPr>
                <w:b/>
                <w:sz w:val="20"/>
                <w:szCs w:val="20"/>
              </w:rPr>
              <w:t>市场前景分析</w:t>
            </w:r>
          </w:p>
        </w:tc>
        <w:tc>
          <w:tcPr>
            <w:tcW w:w="7075" w:type="dxa"/>
            <w:vAlign w:val="center"/>
          </w:tcPr>
          <w:p w14:paraId="6CD7AD01">
            <w:pPr>
              <w:snapToGrid w:val="0"/>
              <w:spacing w:before="40" w:after="40" w:line="240" w:lineRule="auto"/>
              <w:jc w:val="center"/>
              <w:rPr>
                <w:sz w:val="21"/>
              </w:rPr>
            </w:pPr>
          </w:p>
        </w:tc>
      </w:tr>
      <w:tr w14:paraId="6D5B3775">
        <w:trPr>
          <w:trHeight w:val="2173" w:hRule="atLeast"/>
          <w:jc w:val="center"/>
        </w:trPr>
        <w:tc>
          <w:tcPr>
            <w:tcW w:w="2099" w:type="dxa"/>
            <w:shd w:val="clear" w:color="auto" w:fill="E8F5E9"/>
            <w:vAlign w:val="center"/>
          </w:tcPr>
          <w:p w14:paraId="0FD51E55">
            <w:pPr>
              <w:snapToGrid w:val="0"/>
              <w:spacing w:before="40" w:after="40" w:line="240" w:lineRule="auto"/>
              <w:jc w:val="center"/>
              <w:rPr>
                <w:b/>
                <w:sz w:val="20"/>
                <w:szCs w:val="20"/>
                <w:lang w:eastAsia="zh-CN"/>
              </w:rPr>
            </w:pPr>
            <w:r>
              <w:rPr>
                <w:rFonts w:hint="eastAsia"/>
                <w:b/>
                <w:sz w:val="20"/>
                <w:szCs w:val="20"/>
                <w:lang w:eastAsia="zh-CN"/>
              </w:rPr>
              <w:t>复制条件与适配边界</w:t>
            </w:r>
          </w:p>
        </w:tc>
        <w:tc>
          <w:tcPr>
            <w:tcW w:w="7075" w:type="dxa"/>
            <w:vAlign w:val="center"/>
          </w:tcPr>
          <w:p w14:paraId="0C415614">
            <w:pPr>
              <w:snapToGrid w:val="0"/>
              <w:spacing w:before="40" w:after="40" w:line="240" w:lineRule="auto"/>
              <w:jc w:val="center"/>
              <w:rPr>
                <w:sz w:val="21"/>
                <w:lang w:eastAsia="zh-CN"/>
              </w:rPr>
            </w:pPr>
            <w:r>
              <w:rPr>
                <w:rFonts w:hint="eastAsia"/>
                <w:sz w:val="21"/>
                <w:lang w:eastAsia="zh-CN"/>
              </w:rPr>
              <w:t>（对场地要求、工艺路线、处理规模的使用要求与限制）</w:t>
            </w:r>
          </w:p>
        </w:tc>
      </w:tr>
      <w:tr w14:paraId="35C32532">
        <w:trPr>
          <w:trHeight w:val="1946" w:hRule="atLeast"/>
          <w:jc w:val="center"/>
        </w:trPr>
        <w:tc>
          <w:tcPr>
            <w:tcW w:w="2099" w:type="dxa"/>
            <w:shd w:val="clear" w:color="auto" w:fill="E8F5E9"/>
            <w:vAlign w:val="center"/>
          </w:tcPr>
          <w:p w14:paraId="6BE1066E">
            <w:pPr>
              <w:snapToGrid w:val="0"/>
              <w:spacing w:before="40" w:after="40" w:line="240" w:lineRule="auto"/>
              <w:jc w:val="center"/>
              <w:rPr>
                <w:sz w:val="20"/>
                <w:szCs w:val="20"/>
              </w:rPr>
            </w:pPr>
            <w:r>
              <w:rPr>
                <w:b/>
                <w:sz w:val="20"/>
                <w:szCs w:val="20"/>
              </w:rPr>
              <w:t>标准、专利与荣誉</w:t>
            </w:r>
          </w:p>
        </w:tc>
        <w:tc>
          <w:tcPr>
            <w:tcW w:w="7075" w:type="dxa"/>
            <w:vAlign w:val="center"/>
          </w:tcPr>
          <w:p w14:paraId="7F18D112">
            <w:pPr>
              <w:snapToGrid w:val="0"/>
              <w:spacing w:before="40" w:after="40" w:line="240" w:lineRule="auto"/>
              <w:jc w:val="center"/>
              <w:rPr>
                <w:sz w:val="21"/>
              </w:rPr>
            </w:pPr>
            <w:r>
              <w:rPr>
                <w:sz w:val="21"/>
              </w:rPr>
              <w:t>（如适用）</w:t>
            </w:r>
          </w:p>
        </w:tc>
      </w:tr>
      <w:tr w14:paraId="62BE41C6">
        <w:trPr>
          <w:trHeight w:val="552" w:hRule="atLeast"/>
          <w:tblHeader/>
          <w:jc w:val="center"/>
        </w:trPr>
        <w:tc>
          <w:tcPr>
            <w:tcW w:w="9174" w:type="dxa"/>
            <w:gridSpan w:val="2"/>
            <w:shd w:val="clear" w:color="auto" w:fill="2E7D32"/>
            <w:vAlign w:val="center"/>
          </w:tcPr>
          <w:p w14:paraId="6C9C988F">
            <w:pPr>
              <w:snapToGrid w:val="0"/>
              <w:spacing w:before="40" w:after="40" w:line="240" w:lineRule="auto"/>
              <w:jc w:val="center"/>
              <w:rPr>
                <w:lang w:eastAsia="zh-CN"/>
              </w:rPr>
            </w:pPr>
            <w:r>
              <w:rPr>
                <w:b/>
                <w:color w:val="FFFFFF"/>
                <w:sz w:val="22"/>
                <w:lang w:eastAsia="zh-CN"/>
              </w:rPr>
              <w:t>第六部分　证明材料清单</w:t>
            </w:r>
          </w:p>
        </w:tc>
      </w:tr>
      <w:tr w14:paraId="04453C75">
        <w:trPr>
          <w:trHeight w:val="2669" w:hRule="atLeast"/>
          <w:jc w:val="center"/>
        </w:trPr>
        <w:tc>
          <w:tcPr>
            <w:tcW w:w="2099" w:type="dxa"/>
            <w:shd w:val="clear" w:color="auto" w:fill="E8F5E9"/>
            <w:vAlign w:val="center"/>
          </w:tcPr>
          <w:p w14:paraId="7B4FAA74">
            <w:pPr>
              <w:snapToGrid w:val="0"/>
              <w:spacing w:before="40" w:after="40" w:line="240" w:lineRule="auto"/>
              <w:jc w:val="center"/>
            </w:pPr>
            <w:r>
              <w:rPr>
                <w:b/>
                <w:sz w:val="20"/>
                <w:szCs w:val="20"/>
              </w:rPr>
              <w:t>证明材料清单</w:t>
            </w:r>
          </w:p>
        </w:tc>
        <w:tc>
          <w:tcPr>
            <w:tcW w:w="7075" w:type="dxa"/>
            <w:vAlign w:val="center"/>
          </w:tcPr>
          <w:p w14:paraId="4C2ABC61">
            <w:pPr>
              <w:snapToGrid w:val="0"/>
              <w:spacing w:before="40" w:after="40" w:line="240" w:lineRule="auto"/>
              <w:jc w:val="center"/>
              <w:rPr>
                <w:lang w:eastAsia="zh-CN"/>
              </w:rPr>
            </w:pPr>
            <w:r>
              <w:rPr>
                <w:sz w:val="21"/>
                <w:lang w:eastAsia="zh-CN"/>
              </w:rPr>
              <w:t>（</w:t>
            </w:r>
            <w:r>
              <w:rPr>
                <w:rFonts w:hint="eastAsia"/>
                <w:sz w:val="21"/>
                <w:lang w:eastAsia="zh-CN"/>
              </w:rPr>
              <w:t>检测报告、认证证书、知识产权证明、</w:t>
            </w:r>
            <w:r>
              <w:rPr>
                <w:sz w:val="21"/>
                <w:lang w:eastAsia="zh-CN"/>
              </w:rPr>
              <w:t>用户评价</w:t>
            </w:r>
            <w:r>
              <w:rPr>
                <w:rFonts w:hint="eastAsia"/>
                <w:sz w:val="21"/>
                <w:lang w:eastAsia="zh-CN"/>
              </w:rPr>
              <w:t>或</w:t>
            </w:r>
            <w:r>
              <w:rPr>
                <w:sz w:val="21"/>
                <w:lang w:eastAsia="zh-CN"/>
              </w:rPr>
              <w:t>影像材料</w:t>
            </w:r>
            <w:r>
              <w:rPr>
                <w:rFonts w:hint="eastAsia"/>
                <w:sz w:val="21"/>
                <w:lang w:eastAsia="zh-CN"/>
              </w:rPr>
              <w:t>，影像材料可打包发送邮箱）</w:t>
            </w:r>
          </w:p>
        </w:tc>
      </w:tr>
      <w:tr w14:paraId="39A51EEB">
        <w:trPr>
          <w:trHeight w:val="463" w:hRule="atLeast"/>
          <w:tblHeader/>
          <w:jc w:val="center"/>
        </w:trPr>
        <w:tc>
          <w:tcPr>
            <w:tcW w:w="9174" w:type="dxa"/>
            <w:gridSpan w:val="2"/>
            <w:shd w:val="clear" w:color="auto" w:fill="2E7D32"/>
            <w:vAlign w:val="center"/>
          </w:tcPr>
          <w:p w14:paraId="6A5E4800">
            <w:pPr>
              <w:snapToGrid w:val="0"/>
              <w:spacing w:before="40" w:after="40" w:line="240" w:lineRule="auto"/>
              <w:jc w:val="center"/>
              <w:rPr>
                <w:lang w:eastAsia="zh-CN"/>
              </w:rPr>
            </w:pPr>
            <w:r>
              <w:rPr>
                <w:b/>
                <w:color w:val="FFFFFF"/>
                <w:sz w:val="22"/>
                <w:lang w:eastAsia="zh-CN"/>
              </w:rPr>
              <w:t>第七部分　申报承诺与签章</w:t>
            </w:r>
          </w:p>
        </w:tc>
      </w:tr>
    </w:tbl>
    <w:p w14:paraId="29E15477">
      <w:pPr>
        <w:pBdr>
          <w:top w:val="single" w:color="9E9E9E" w:sz="6" w:space="4"/>
          <w:left w:val="single" w:color="9E9E9E" w:sz="6" w:space="4"/>
          <w:bottom w:val="single" w:color="9E9E9E" w:sz="6" w:space="4"/>
          <w:right w:val="single" w:color="9E9E9E" w:sz="6" w:space="4"/>
        </w:pBdr>
        <w:shd w:val="clear" w:color="auto" w:fill="F5F8F6"/>
        <w:spacing w:before="120" w:after="120" w:line="336" w:lineRule="auto"/>
        <w:rPr>
          <w:lang w:eastAsia="zh-CN"/>
        </w:rPr>
      </w:pPr>
      <w:r>
        <w:rPr>
          <w:sz w:val="21"/>
          <w:lang w:eastAsia="zh-CN"/>
        </w:rPr>
        <w:t>本申报单位郑重承诺：本表所填内容真实、准确、合法、有效，申报案例不存在知识产权争议，涉密信息已按要求完成脱密处理；如有虚假，愿承担相应责任。</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6714"/>
      </w:tblGrid>
      <w:tr w14:paraId="3839FDFD">
        <w:trPr>
          <w:cantSplit/>
          <w:trHeight w:val="567" w:hRule="atLeast"/>
          <w:jc w:val="center"/>
        </w:trPr>
        <w:tc>
          <w:tcPr>
            <w:tcW w:w="2244" w:type="dxa"/>
            <w:shd w:val="clear" w:color="auto" w:fill="E8F5E9"/>
            <w:vAlign w:val="center"/>
          </w:tcPr>
          <w:p w14:paraId="5F273C27">
            <w:pPr>
              <w:spacing w:before="40" w:after="40" w:line="276" w:lineRule="auto"/>
              <w:jc w:val="left"/>
              <w:rPr>
                <w:lang w:eastAsia="zh-CN"/>
              </w:rPr>
            </w:pPr>
            <w:r>
              <w:rPr>
                <w:b/>
                <w:sz w:val="21"/>
              </w:rPr>
              <w:t>申报单位</w:t>
            </w:r>
            <w:r>
              <w:rPr>
                <w:rFonts w:hint="eastAsia"/>
                <w:b/>
                <w:sz w:val="21"/>
                <w:lang w:eastAsia="zh-CN"/>
              </w:rPr>
              <w:t>（电子章）</w:t>
            </w:r>
          </w:p>
        </w:tc>
        <w:tc>
          <w:tcPr>
            <w:tcW w:w="6714" w:type="dxa"/>
            <w:vAlign w:val="center"/>
          </w:tcPr>
          <w:p w14:paraId="445A1C5C">
            <w:pPr>
              <w:spacing w:before="40" w:after="40" w:line="276" w:lineRule="auto"/>
              <w:jc w:val="left"/>
            </w:pPr>
          </w:p>
        </w:tc>
      </w:tr>
      <w:tr w14:paraId="032ABAD4">
        <w:trPr>
          <w:cantSplit/>
          <w:trHeight w:val="567" w:hRule="atLeast"/>
          <w:jc w:val="center"/>
        </w:trPr>
        <w:tc>
          <w:tcPr>
            <w:tcW w:w="2244" w:type="dxa"/>
            <w:shd w:val="clear" w:color="auto" w:fill="E8F5E9"/>
            <w:vAlign w:val="center"/>
          </w:tcPr>
          <w:p w14:paraId="5E891BE3">
            <w:pPr>
              <w:spacing w:before="40" w:after="40" w:line="276" w:lineRule="auto"/>
              <w:jc w:val="left"/>
            </w:pPr>
            <w:r>
              <w:rPr>
                <w:b/>
                <w:sz w:val="21"/>
              </w:rPr>
              <w:t>负责人</w:t>
            </w:r>
          </w:p>
        </w:tc>
        <w:tc>
          <w:tcPr>
            <w:tcW w:w="6714" w:type="dxa"/>
            <w:vAlign w:val="center"/>
          </w:tcPr>
          <w:p w14:paraId="32B4C62F">
            <w:pPr>
              <w:spacing w:before="40" w:after="40" w:line="276" w:lineRule="auto"/>
              <w:jc w:val="left"/>
            </w:pPr>
          </w:p>
        </w:tc>
      </w:tr>
      <w:tr w14:paraId="6E7EB6E7">
        <w:trPr>
          <w:cantSplit/>
          <w:trHeight w:val="567" w:hRule="atLeast"/>
          <w:jc w:val="center"/>
        </w:trPr>
        <w:tc>
          <w:tcPr>
            <w:tcW w:w="2244" w:type="dxa"/>
            <w:shd w:val="clear" w:color="auto" w:fill="E8F5E9"/>
            <w:vAlign w:val="center"/>
          </w:tcPr>
          <w:p w14:paraId="1E2B9229">
            <w:pPr>
              <w:spacing w:before="40" w:after="40" w:line="276" w:lineRule="auto"/>
              <w:jc w:val="left"/>
            </w:pPr>
            <w:r>
              <w:rPr>
                <w:b/>
                <w:sz w:val="21"/>
              </w:rPr>
              <w:t>日　　期</w:t>
            </w:r>
          </w:p>
        </w:tc>
        <w:tc>
          <w:tcPr>
            <w:tcW w:w="6714" w:type="dxa"/>
            <w:vAlign w:val="center"/>
          </w:tcPr>
          <w:p w14:paraId="2F976ABB">
            <w:pPr>
              <w:spacing w:before="40" w:after="40" w:line="276" w:lineRule="auto"/>
              <w:jc w:val="left"/>
            </w:pPr>
          </w:p>
        </w:tc>
      </w:tr>
    </w:tbl>
    <w:p w14:paraId="75D23A2E">
      <w:pPr>
        <w:spacing w:before="200" w:after="80"/>
      </w:pPr>
      <w:r>
        <w:rPr>
          <w:rFonts w:eastAsia="黑体"/>
          <w:b/>
          <w:color w:val="145C3B"/>
        </w:rPr>
        <w:t>填报说明</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7"/>
      </w:tblGrid>
      <w:tr w14:paraId="27203D3D">
        <w:trPr>
          <w:jc w:val="center"/>
        </w:trPr>
        <w:tc>
          <w:tcPr>
            <w:tcW w:w="8957" w:type="dxa"/>
            <w:shd w:val="clear" w:color="auto" w:fill="F5F8F6"/>
            <w:vAlign w:val="center"/>
          </w:tcPr>
          <w:p w14:paraId="2C840BFF">
            <w:pPr>
              <w:spacing w:before="20" w:after="20" w:line="312" w:lineRule="auto"/>
              <w:jc w:val="left"/>
              <w:rPr>
                <w:lang w:eastAsia="zh-CN"/>
              </w:rPr>
            </w:pPr>
            <w:r>
              <w:rPr>
                <w:sz w:val="21"/>
                <w:lang w:eastAsia="zh-CN"/>
              </w:rPr>
              <w:t>1. 请对照函件要求逐项如实填写，涉及量化指标须注明统计口径与对比基线；</w:t>
            </w:r>
          </w:p>
          <w:p w14:paraId="7F203168">
            <w:pPr>
              <w:spacing w:before="20" w:after="20" w:line="312" w:lineRule="auto"/>
              <w:rPr>
                <w:lang w:eastAsia="zh-CN"/>
              </w:rPr>
            </w:pPr>
            <w:r>
              <w:rPr>
                <w:sz w:val="21"/>
                <w:lang w:eastAsia="zh-CN"/>
              </w:rPr>
              <w:t>2. 请将本申报表、证明材料及影像资料电子版打包发送至申报邮箱【×××】，邮件主题请注明“‘智能+场景’应用案例申报＋申报单位名称”；</w:t>
            </w:r>
          </w:p>
          <w:p w14:paraId="426E8B11">
            <w:pPr>
              <w:spacing w:before="20" w:after="20" w:line="312" w:lineRule="auto"/>
              <w:rPr>
                <w:lang w:eastAsia="zh-CN"/>
              </w:rPr>
            </w:pPr>
            <w:r>
              <w:rPr>
                <w:sz w:val="21"/>
                <w:lang w:eastAsia="zh-CN"/>
              </w:rPr>
              <w:t>3. 申报截止时间为2026年12月31日，逾期不再受理；</w:t>
            </w:r>
          </w:p>
          <w:p w14:paraId="6E2507DA">
            <w:pPr>
              <w:spacing w:before="20" w:after="20" w:line="312" w:lineRule="auto"/>
              <w:rPr>
                <w:lang w:eastAsia="zh-CN"/>
              </w:rPr>
            </w:pPr>
            <w:r>
              <w:rPr>
                <w:sz w:val="21"/>
                <w:lang w:eastAsia="zh-CN"/>
              </w:rPr>
              <w:t>4. 申报咨询联系人：×××；联系电话：×××；电子邮箱：×××；</w:t>
            </w:r>
          </w:p>
          <w:p w14:paraId="7460E150">
            <w:pPr>
              <w:spacing w:before="20" w:after="20" w:line="312" w:lineRule="auto"/>
              <w:rPr>
                <w:lang w:eastAsia="zh-CN"/>
              </w:rPr>
            </w:pPr>
            <w:r>
              <w:rPr>
                <w:sz w:val="21"/>
                <w:lang w:eastAsia="zh-CN"/>
              </w:rPr>
              <w:t>5. 本表信息仅用于本次案例征集评审与行业交流，E20环境平台将依法保护申报单位的商业秘密。</w:t>
            </w:r>
          </w:p>
        </w:tc>
      </w:tr>
    </w:tbl>
    <w:p w14:paraId="403E5974">
      <w:pPr>
        <w:rPr>
          <w:lang w:eastAsia="zh-CN"/>
        </w:rPr>
      </w:pPr>
    </w:p>
    <w:sectPr>
      <w:headerReference r:id="rId5" w:type="default"/>
      <w:footerReference r:id="rId6" w:type="default"/>
      <w:pgSz w:w="11906" w:h="16838"/>
      <w:pgMar w:top="1247" w:right="1474" w:bottom="1247" w:left="147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ＭＳ ゴシック">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Courier">
    <w:altName w:val="苹方-简"/>
    <w:panose1 w:val="02070409020205020404"/>
    <w:charset w:val="00"/>
    <w:family w:val="auto"/>
    <w:pitch w:val="default"/>
    <w:sig w:usb0="00000000" w:usb1="00000000" w:usb2="00000000" w:usb3="00000000" w:csb0="00000001"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6"/>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Kingsoft Sign">
    <w:panose1 w:val="05050102010706020507"/>
    <w:charset w:val="00"/>
    <w:family w:val="auto"/>
    <w:pitch w:val="default"/>
    <w:sig w:usb0="00000000" w:usb1="10000000" w:usb2="00000000" w:usb3="00000000" w:csb0="00000001" w:csb1="00000000"/>
  </w:font>
  <w:font w:name="Cambria">
    <w:altName w:val="苹方-简"/>
    <w:panose1 w:val="02040503050406030204"/>
    <w:charset w:val="00"/>
    <w:family w:val="roman"/>
    <w:pitch w:val="default"/>
    <w:sig w:usb0="00000000" w:usb1="00000000" w:usb2="02000000" w:usb3="00000000" w:csb0="2000019F" w:csb1="00000000"/>
  </w:font>
  <w:font w:name="汉仪中黑KW">
    <w:panose1 w:val="00020600040101010101"/>
    <w:charset w:val="86"/>
    <w:family w:val="auto"/>
    <w:pitch w:val="default"/>
    <w:sig w:usb0="A00002BF" w:usb1="18EF7CFA" w:usb2="00000016" w:usb3="00000000" w:csb0="00040000" w:csb1="00000000"/>
  </w:font>
  <w:font w:name="ＭＳ 明朝">
    <w:altName w:val="Hiragino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F23F6">
    <w:pPr>
      <w:pStyle w:val="25"/>
      <w:spacing w:after="40"/>
      <w:jc w:val="center"/>
      <w:rPr>
        <w:lang w:eastAsia="zh-CN"/>
      </w:rPr>
    </w:pPr>
    <w:r>
      <w:rPr>
        <w:color w:val="595959"/>
        <w:sz w:val="17"/>
        <w:lang w:eastAsia="zh-CN"/>
      </w:rPr>
      <w:t>E20环境平台 · 智库智能双引擎的环境纵深生态平台</w:t>
    </w:r>
  </w:p>
  <w:p w14:paraId="5F599932">
    <w:pPr>
      <w:jc w:val="center"/>
    </w:pPr>
    <w:r>
      <w:rPr>
        <w:color w:val="595959"/>
        <w:sz w:val="18"/>
      </w:rPr>
      <w:t xml:space="preserve">第 </w:t>
    </w:r>
    <w:r>
      <w:rPr>
        <w:color w:val="595959"/>
        <w:sz w:val="18"/>
      </w:rPr>
      <w:fldChar w:fldCharType="begin"/>
    </w:r>
    <w:r>
      <w:rPr>
        <w:color w:val="595959"/>
        <w:sz w:val="18"/>
      </w:rPr>
      <w:instrText xml:space="preserve"> PAGE </w:instrText>
    </w:r>
    <w:r>
      <w:rPr>
        <w:color w:val="595959"/>
        <w:sz w:val="18"/>
      </w:rPr>
      <w:fldChar w:fldCharType="separate"/>
    </w:r>
    <w:r>
      <w:rPr>
        <w:color w:val="595959"/>
        <w:sz w:val="18"/>
      </w:rPr>
      <w:t>1</w:t>
    </w:r>
    <w:r>
      <w:rPr>
        <w:color w:val="595959"/>
        <w:sz w:val="18"/>
      </w:rPr>
      <w:fldChar w:fldCharType="end"/>
    </w:r>
    <w:r>
      <w:rPr>
        <w:color w:val="595959"/>
        <w:sz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0BEF6">
    <w:pPr>
      <w:pStyle w:val="26"/>
      <w:rPr>
        <w:lang w:eastAsia="zh-CN"/>
      </w:rPr>
    </w:pPr>
    <w:r>
      <w:rPr>
        <w:rFonts w:hint="eastAsia"/>
        <w:lang w:eastAsia="zh-CN"/>
      </w:rPr>
      <w:drawing>
        <wp:inline distT="0" distB="0" distL="114300" distR="114300">
          <wp:extent cx="969645" cy="231140"/>
          <wp:effectExtent l="0" t="0" r="20955" b="22860"/>
          <wp:docPr id="1" name="图片 1" descr="E20环境平台-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20环境平台-LOGO-1"/>
                  <pic:cNvPicPr>
                    <a:picLocks noChangeAspect="1"/>
                  </pic:cNvPicPr>
                </pic:nvPicPr>
                <pic:blipFill>
                  <a:blip r:embed="rId1"/>
                  <a:stretch>
                    <a:fillRect/>
                  </a:stretch>
                </pic:blipFill>
                <pic:spPr>
                  <a:xfrm>
                    <a:off x="0" y="0"/>
                    <a:ext cx="969645" cy="231140"/>
                  </a:xfrm>
                  <a:prstGeom prst="rect">
                    <a:avLst/>
                  </a:prstGeom>
                </pic:spPr>
              </pic:pic>
            </a:graphicData>
          </a:graphic>
        </wp:inline>
      </w:drawing>
    </w:r>
    <w:r>
      <w:rPr>
        <w:rFonts w:hint="eastAsia"/>
        <w:lang w:eastAsia="zh-CN"/>
      </w:rPr>
      <w:t xml:space="preserve">    </w:t>
    </w:r>
    <w:r>
      <w:rPr>
        <w:rFonts w:hint="eastAsia"/>
        <w:lang w:eastAsia="zh-CN"/>
      </w:rPr>
      <w:drawing>
        <wp:inline distT="0" distB="0" distL="114300" distR="114300">
          <wp:extent cx="796290" cy="231775"/>
          <wp:effectExtent l="0" t="0" r="16510" b="22225"/>
          <wp:docPr id="2" name="图片 2" descr="研究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研究院-LOGO"/>
                  <pic:cNvPicPr>
                    <a:picLocks noChangeAspect="1"/>
                  </pic:cNvPicPr>
                </pic:nvPicPr>
                <pic:blipFill>
                  <a:blip r:embed="rId2"/>
                  <a:stretch>
                    <a:fillRect/>
                  </a:stretch>
                </pic:blipFill>
                <pic:spPr>
                  <a:xfrm>
                    <a:off x="0" y="0"/>
                    <a:ext cx="796290" cy="2317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B47730"/>
    <w:rsid w:val="00034616"/>
    <w:rsid w:val="0006063C"/>
    <w:rsid w:val="0015074B"/>
    <w:rsid w:val="0029639D"/>
    <w:rsid w:val="00326F90"/>
    <w:rsid w:val="003D3E15"/>
    <w:rsid w:val="00547E37"/>
    <w:rsid w:val="006B5177"/>
    <w:rsid w:val="007A798B"/>
    <w:rsid w:val="009F1518"/>
    <w:rsid w:val="00A9690A"/>
    <w:rsid w:val="00AA1D8D"/>
    <w:rsid w:val="00B14F8C"/>
    <w:rsid w:val="00B47730"/>
    <w:rsid w:val="00CB0664"/>
    <w:rsid w:val="00EB63BD"/>
    <w:rsid w:val="00FC693F"/>
    <w:rsid w:val="04705BA4"/>
    <w:rsid w:val="08C957E0"/>
    <w:rsid w:val="0FFB4EB4"/>
    <w:rsid w:val="17CF598E"/>
    <w:rsid w:val="194F533E"/>
    <w:rsid w:val="33154ECE"/>
    <w:rsid w:val="38E7068F"/>
    <w:rsid w:val="3EBECC2B"/>
    <w:rsid w:val="3F0F9739"/>
    <w:rsid w:val="536B5669"/>
    <w:rsid w:val="57DB7E17"/>
    <w:rsid w:val="5B3B5ABC"/>
    <w:rsid w:val="5EBF423B"/>
    <w:rsid w:val="5FFE63A1"/>
    <w:rsid w:val="64FFDA0E"/>
    <w:rsid w:val="6BFF8EC8"/>
    <w:rsid w:val="6EFF9A7F"/>
    <w:rsid w:val="6F778195"/>
    <w:rsid w:val="6FB99FA4"/>
    <w:rsid w:val="73FF9948"/>
    <w:rsid w:val="74BF1C36"/>
    <w:rsid w:val="7B3FD833"/>
    <w:rsid w:val="7B790711"/>
    <w:rsid w:val="7BDF48EB"/>
    <w:rsid w:val="7CBF4BE6"/>
    <w:rsid w:val="7FB71D8E"/>
    <w:rsid w:val="7FEF20E8"/>
    <w:rsid w:val="7FF7FF46"/>
    <w:rsid w:val="9EFD9511"/>
    <w:rsid w:val="9F737E9D"/>
    <w:rsid w:val="B91D90C1"/>
    <w:rsid w:val="BEAD2F5D"/>
    <w:rsid w:val="C574D95A"/>
    <w:rsid w:val="D36F250E"/>
    <w:rsid w:val="D3E6ECE1"/>
    <w:rsid w:val="D9EF998B"/>
    <w:rsid w:val="DFB7FA28"/>
    <w:rsid w:val="DFFEA2A0"/>
    <w:rsid w:val="E7DD8C4A"/>
    <w:rsid w:val="EEEF30DF"/>
    <w:rsid w:val="EF57D9E9"/>
    <w:rsid w:val="EFB11D59"/>
    <w:rsid w:val="F67FAE4F"/>
    <w:rsid w:val="F7AF33AD"/>
    <w:rsid w:val="F7F53396"/>
    <w:rsid w:val="FA224DC1"/>
    <w:rsid w:val="FAAF97A7"/>
    <w:rsid w:val="FBEBF38C"/>
    <w:rsid w:val="FF677E30"/>
    <w:rsid w:val="FFB756D8"/>
    <w:rsid w:val="FFBD3683"/>
    <w:rsid w:val="FFEB1200"/>
    <w:rsid w:val="FFFF79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line="360" w:lineRule="auto"/>
      <w:jc w:val="both"/>
    </w:pPr>
    <w:rPr>
      <w:rFonts w:ascii="Times New Roman" w:hAnsi="Times New Roman" w:eastAsia="宋体" w:cstheme="minorBidi"/>
      <w:sz w:val="24"/>
      <w:szCs w:val="22"/>
      <w:lang w:val="en-US" w:eastAsia="en-US" w:bidi="ar-SA"/>
    </w:rPr>
  </w:style>
  <w:style w:type="paragraph" w:styleId="3">
    <w:name w:val="heading 1"/>
    <w:basedOn w:val="1"/>
    <w:next w:val="1"/>
    <w:link w:val="139"/>
    <w:qFormat/>
    <w:uiPriority w:val="9"/>
    <w:pPr>
      <w:keepNext/>
      <w:keepLines/>
      <w:spacing w:before="280" w:after="120" w:line="312" w:lineRule="auto"/>
      <w:jc w:val="left"/>
      <w:outlineLvl w:val="0"/>
    </w:pPr>
    <w:rPr>
      <w:rFonts w:asciiTheme="majorHAnsi" w:hAnsiTheme="majorHAnsi" w:eastAsiaTheme="majorEastAsia" w:cstheme="majorBidi"/>
      <w:b/>
      <w:bCs/>
      <w:color w:val="1F7A4D"/>
      <w:sz w:val="28"/>
      <w:szCs w:val="28"/>
    </w:rPr>
  </w:style>
  <w:style w:type="paragraph" w:styleId="4">
    <w:name w:val="heading 2"/>
    <w:basedOn w:val="1"/>
    <w:next w:val="1"/>
    <w:link w:val="140"/>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autoRedefine/>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autoRedefine/>
    <w:unhideWhenUsed/>
    <w:qFormat/>
    <w:uiPriority w:val="99"/>
    <w:pPr>
      <w:ind w:left="1080" w:hanging="360"/>
      <w:contextualSpacing/>
    </w:pPr>
  </w:style>
  <w:style w:type="paragraph" w:styleId="13">
    <w:name w:val="List Number 2"/>
    <w:basedOn w:val="1"/>
    <w:autoRedefine/>
    <w:unhideWhenUsed/>
    <w:qFormat/>
    <w:uiPriority w:val="99"/>
    <w:pPr>
      <w:numPr>
        <w:ilvl w:val="0"/>
        <w:numId w:val="1"/>
      </w:numPr>
      <w:contextualSpacing/>
    </w:pPr>
  </w:style>
  <w:style w:type="paragraph" w:styleId="14">
    <w:name w:val="List Number"/>
    <w:basedOn w:val="1"/>
    <w:autoRedefine/>
    <w:unhideWhenUsed/>
    <w:qFormat/>
    <w:uiPriority w:val="99"/>
    <w:pPr>
      <w:numPr>
        <w:ilvl w:val="0"/>
        <w:numId w:val="2"/>
      </w:numPr>
      <w:contextualSpacing/>
    </w:pPr>
  </w:style>
  <w:style w:type="paragraph" w:styleId="15">
    <w:name w:val="caption"/>
    <w:basedOn w:val="1"/>
    <w:next w:val="1"/>
    <w:autoRedefine/>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autoRedefine/>
    <w:unhideWhenUsed/>
    <w:qFormat/>
    <w:uiPriority w:val="99"/>
    <w:pPr>
      <w:numPr>
        <w:ilvl w:val="0"/>
        <w:numId w:val="3"/>
      </w:numPr>
      <w:contextualSpacing/>
    </w:pPr>
  </w:style>
  <w:style w:type="paragraph" w:styleId="17">
    <w:name w:val="annotation text"/>
    <w:basedOn w:val="1"/>
    <w:semiHidden/>
    <w:unhideWhenUsed/>
    <w:uiPriority w:val="99"/>
    <w:pPr>
      <w:jc w:val="left"/>
    </w:pPr>
  </w:style>
  <w:style w:type="paragraph" w:styleId="18">
    <w:name w:val="Body Text 3"/>
    <w:basedOn w:val="1"/>
    <w:link w:val="147"/>
    <w:autoRedefine/>
    <w:unhideWhenUsed/>
    <w:qFormat/>
    <w:uiPriority w:val="99"/>
    <w:pPr>
      <w:spacing w:after="120"/>
    </w:pPr>
    <w:rPr>
      <w:sz w:val="16"/>
      <w:szCs w:val="16"/>
    </w:rPr>
  </w:style>
  <w:style w:type="paragraph" w:styleId="19">
    <w:name w:val="List Bullet 3"/>
    <w:basedOn w:val="1"/>
    <w:autoRedefine/>
    <w:unhideWhenUsed/>
    <w:qFormat/>
    <w:uiPriority w:val="99"/>
    <w:pPr>
      <w:numPr>
        <w:ilvl w:val="0"/>
        <w:numId w:val="4"/>
      </w:numPr>
      <w:contextualSpacing/>
    </w:pPr>
  </w:style>
  <w:style w:type="paragraph" w:styleId="20">
    <w:name w:val="Body Text"/>
    <w:basedOn w:val="1"/>
    <w:link w:val="145"/>
    <w:autoRedefine/>
    <w:unhideWhenUsed/>
    <w:qFormat/>
    <w:uiPriority w:val="99"/>
    <w:pPr>
      <w:spacing w:after="120"/>
    </w:pPr>
  </w:style>
  <w:style w:type="paragraph" w:styleId="21">
    <w:name w:val="List Number 3"/>
    <w:basedOn w:val="1"/>
    <w:autoRedefine/>
    <w:unhideWhenUsed/>
    <w:qFormat/>
    <w:uiPriority w:val="99"/>
    <w:pPr>
      <w:numPr>
        <w:ilvl w:val="0"/>
        <w:numId w:val="5"/>
      </w:numPr>
      <w:contextualSpacing/>
    </w:pPr>
  </w:style>
  <w:style w:type="paragraph" w:styleId="22">
    <w:name w:val="List 2"/>
    <w:basedOn w:val="1"/>
    <w:autoRedefine/>
    <w:unhideWhenUsed/>
    <w:qFormat/>
    <w:uiPriority w:val="99"/>
    <w:pPr>
      <w:ind w:left="720" w:hanging="360"/>
      <w:contextualSpacing/>
    </w:pPr>
  </w:style>
  <w:style w:type="paragraph" w:styleId="23">
    <w:name w:val="List Continue"/>
    <w:basedOn w:val="1"/>
    <w:autoRedefine/>
    <w:unhideWhenUsed/>
    <w:qFormat/>
    <w:uiPriority w:val="99"/>
    <w:pPr>
      <w:spacing w:after="120"/>
      <w:ind w:left="360"/>
      <w:contextualSpacing/>
    </w:pPr>
  </w:style>
  <w:style w:type="paragraph" w:styleId="24">
    <w:name w:val="List Bullet 2"/>
    <w:basedOn w:val="1"/>
    <w:autoRedefine/>
    <w:unhideWhenUsed/>
    <w:qFormat/>
    <w:uiPriority w:val="99"/>
    <w:pPr>
      <w:numPr>
        <w:ilvl w:val="0"/>
        <w:numId w:val="6"/>
      </w:numPr>
      <w:contextualSpacing/>
    </w:pPr>
  </w:style>
  <w:style w:type="paragraph" w:styleId="25">
    <w:name w:val="footer"/>
    <w:basedOn w:val="1"/>
    <w:link w:val="137"/>
    <w:autoRedefine/>
    <w:unhideWhenUsed/>
    <w:qFormat/>
    <w:uiPriority w:val="99"/>
    <w:pPr>
      <w:tabs>
        <w:tab w:val="center" w:pos="4680"/>
        <w:tab w:val="right" w:pos="9360"/>
      </w:tabs>
      <w:spacing w:line="240" w:lineRule="auto"/>
    </w:pPr>
  </w:style>
  <w:style w:type="paragraph" w:styleId="26">
    <w:name w:val="header"/>
    <w:basedOn w:val="1"/>
    <w:link w:val="136"/>
    <w:autoRedefine/>
    <w:unhideWhenUsed/>
    <w:qFormat/>
    <w:uiPriority w:val="99"/>
    <w:pPr>
      <w:tabs>
        <w:tab w:val="center" w:pos="4680"/>
        <w:tab w:val="right" w:pos="9360"/>
      </w:tabs>
      <w:spacing w:line="240" w:lineRule="auto"/>
    </w:pPr>
  </w:style>
  <w:style w:type="paragraph" w:styleId="27">
    <w:name w:val="Subtitle"/>
    <w:basedOn w:val="1"/>
    <w:next w:val="1"/>
    <w:link w:val="143"/>
    <w:autoRedefine/>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8">
    <w:name w:val="List"/>
    <w:basedOn w:val="1"/>
    <w:autoRedefine/>
    <w:unhideWhenUsed/>
    <w:qFormat/>
    <w:uiPriority w:val="99"/>
    <w:pPr>
      <w:ind w:left="360" w:hanging="360"/>
      <w:contextualSpacing/>
    </w:pPr>
  </w:style>
  <w:style w:type="paragraph" w:styleId="29">
    <w:name w:val="Body Text 2"/>
    <w:basedOn w:val="1"/>
    <w:link w:val="146"/>
    <w:autoRedefine/>
    <w:unhideWhenUsed/>
    <w:qFormat/>
    <w:uiPriority w:val="99"/>
    <w:pPr>
      <w:spacing w:after="120" w:line="480" w:lineRule="auto"/>
    </w:pPr>
  </w:style>
  <w:style w:type="paragraph" w:styleId="30">
    <w:name w:val="List Continue 2"/>
    <w:basedOn w:val="1"/>
    <w:autoRedefine/>
    <w:unhideWhenUsed/>
    <w:qFormat/>
    <w:uiPriority w:val="99"/>
    <w:pPr>
      <w:spacing w:after="120"/>
      <w:ind w:left="720"/>
      <w:contextualSpacing/>
    </w:pPr>
  </w:style>
  <w:style w:type="paragraph" w:styleId="31">
    <w:name w:val="List Continue 3"/>
    <w:basedOn w:val="1"/>
    <w:autoRedefine/>
    <w:unhideWhenUsed/>
    <w:qFormat/>
    <w:uiPriority w:val="99"/>
    <w:pPr>
      <w:spacing w:after="120"/>
      <w:ind w:left="1080"/>
      <w:contextualSpacing/>
    </w:pPr>
  </w:style>
  <w:style w:type="paragraph" w:styleId="32">
    <w:name w:val="Title"/>
    <w:basedOn w:val="1"/>
    <w:next w:val="1"/>
    <w:link w:val="142"/>
    <w:autoRedefine/>
    <w:qFormat/>
    <w:uiPriority w:val="10"/>
    <w:pPr>
      <w:pBdr>
        <w:bottom w:val="single" w:color="4F81BD" w:themeColor="accent1" w:sz="8" w:space="4"/>
      </w:pBdr>
      <w:spacing w:before="200" w:after="240" w:line="312" w:lineRule="auto"/>
      <w:contextualSpacing/>
      <w:jc w:val="center"/>
    </w:pPr>
    <w:rPr>
      <w:rFonts w:asciiTheme="majorHAnsi" w:hAnsiTheme="majorHAnsi" w:eastAsiaTheme="majorEastAsia" w:cstheme="majorBidi"/>
      <w:b/>
      <w:color w:val="000000"/>
      <w:spacing w:val="5"/>
      <w:kern w:val="28"/>
      <w:sz w:val="40"/>
      <w:szCs w:val="52"/>
    </w:rPr>
  </w:style>
  <w:style w:type="table" w:styleId="34">
    <w:name w:val="Table Grid"/>
    <w:basedOn w:val="3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5">
    <w:name w:val="Light Shading"/>
    <w:basedOn w:val="33"/>
    <w:autoRedefine/>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autoRedefine/>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autoRedefine/>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autoRedefine/>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autoRedefine/>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autoRedefine/>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autoRedefine/>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autoRedefine/>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autoRedefine/>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autoRedefine/>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autoRedefine/>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autoRedefine/>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autoRedefine/>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autoRedefine/>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autoRedefine/>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autoRedefine/>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autoRedefine/>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autoRedefine/>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autoRedefine/>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autoRedefine/>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autoRedefine/>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autoRedefine/>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autoRedefine/>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autoRedefine/>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autoRedefine/>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autoRedefine/>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autoRedefine/>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autoRedefine/>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autoRedefine/>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autoRedefine/>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autoRedefine/>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autoRedefine/>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autoRedefine/>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autoRedefine/>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autoRedefine/>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autoRedefine/>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autoRedefine/>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autoRedefine/>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autoRedefine/>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autoRedefine/>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autoRedefine/>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autoRedefine/>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autoRedefine/>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autoRedefine/>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autoRedefine/>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autoRedefine/>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autoRedefine/>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autoRedefine/>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autoRedefine/>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autoRedefine/>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autoRedefine/>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autoRedefine/>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autoRedefine/>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autoRedefine/>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autoRedefine/>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autoRedefine/>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autoRedefine/>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autoRedefine/>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autoRedefine/>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autoRedefine/>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autoRedefine/>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autoRedefine/>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autoRedefine/>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autoRedefine/>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autoRedefine/>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autoRedefine/>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autoRedefine/>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autoRedefine/>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autoRedefine/>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autoRedefine/>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autoRedefine/>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autoRedefine/>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autoRedefine/>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autoRedefine/>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autoRedefine/>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autoRedefine/>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autoRedefine/>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autoRedefine/>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autoRedefine/>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autoRedefine/>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autoRedefine/>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autoRedefine/>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autoRedefine/>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autoRedefine/>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autoRedefine/>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autoRedefine/>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autoRedefine/>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autoRedefine/>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autoRedefine/>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autoRedefine/>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autoRedefine/>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autoRedefine/>
    <w:qFormat/>
    <w:uiPriority w:val="22"/>
    <w:rPr>
      <w:b/>
      <w:bCs/>
    </w:rPr>
  </w:style>
  <w:style w:type="character" w:styleId="135">
    <w:name w:val="Emphasis"/>
    <w:basedOn w:val="133"/>
    <w:autoRedefine/>
    <w:qFormat/>
    <w:uiPriority w:val="20"/>
    <w:rPr>
      <w:i/>
      <w:iCs/>
    </w:rPr>
  </w:style>
  <w:style w:type="character" w:customStyle="1" w:styleId="136">
    <w:name w:val="页眉 字符"/>
    <w:basedOn w:val="133"/>
    <w:link w:val="26"/>
    <w:autoRedefine/>
    <w:qFormat/>
    <w:uiPriority w:val="99"/>
  </w:style>
  <w:style w:type="character" w:customStyle="1" w:styleId="137">
    <w:name w:val="页脚 字符"/>
    <w:basedOn w:val="133"/>
    <w:link w:val="25"/>
    <w:autoRedefine/>
    <w:qFormat/>
    <w:uiPriority w:val="99"/>
  </w:style>
  <w:style w:type="paragraph" w:styleId="138">
    <w:name w:val="No Spacing"/>
    <w:autoRedefine/>
    <w:qFormat/>
    <w:uiPriority w:val="1"/>
    <w:rPr>
      <w:rFonts w:asciiTheme="minorHAnsi" w:hAnsiTheme="minorHAnsi" w:eastAsiaTheme="minorEastAsia" w:cstheme="minorBidi"/>
      <w:sz w:val="22"/>
      <w:szCs w:val="22"/>
      <w:lang w:val="en-US" w:eastAsia="en-US" w:bidi="ar-SA"/>
    </w:rPr>
  </w:style>
  <w:style w:type="character" w:customStyle="1" w:styleId="139">
    <w:name w:val="标题 1 字符"/>
    <w:basedOn w:val="133"/>
    <w:link w:val="3"/>
    <w:autoRedefine/>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标题 2 字符"/>
    <w:basedOn w:val="133"/>
    <w:link w:val="4"/>
    <w:autoRedefine/>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标题 3 字符"/>
    <w:basedOn w:val="133"/>
    <w:link w:val="5"/>
    <w:autoRedefine/>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标题 字符"/>
    <w:basedOn w:val="133"/>
    <w:link w:val="32"/>
    <w:autoRedefine/>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副标题 字符"/>
    <w:basedOn w:val="133"/>
    <w:link w:val="27"/>
    <w:autoRedefine/>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autoRedefine/>
    <w:qFormat/>
    <w:uiPriority w:val="34"/>
    <w:pPr>
      <w:ind w:left="720"/>
      <w:contextualSpacing/>
    </w:pPr>
  </w:style>
  <w:style w:type="character" w:customStyle="1" w:styleId="145">
    <w:name w:val="正文文本 字符"/>
    <w:basedOn w:val="133"/>
    <w:link w:val="20"/>
    <w:autoRedefine/>
    <w:qFormat/>
    <w:uiPriority w:val="99"/>
  </w:style>
  <w:style w:type="character" w:customStyle="1" w:styleId="146">
    <w:name w:val="正文文本 2 字符"/>
    <w:basedOn w:val="133"/>
    <w:link w:val="29"/>
    <w:autoRedefine/>
    <w:qFormat/>
    <w:uiPriority w:val="99"/>
  </w:style>
  <w:style w:type="character" w:customStyle="1" w:styleId="147">
    <w:name w:val="正文文本 3 字符"/>
    <w:basedOn w:val="133"/>
    <w:link w:val="18"/>
    <w:autoRedefine/>
    <w:qFormat/>
    <w:uiPriority w:val="99"/>
    <w:rPr>
      <w:sz w:val="16"/>
      <w:szCs w:val="16"/>
    </w:rPr>
  </w:style>
  <w:style w:type="character" w:customStyle="1" w:styleId="148">
    <w:name w:val="宏文本 字符"/>
    <w:basedOn w:val="133"/>
    <w:link w:val="2"/>
    <w:autoRedefine/>
    <w:qFormat/>
    <w:uiPriority w:val="99"/>
    <w:rPr>
      <w:rFonts w:ascii="Courier" w:hAnsi="Courier"/>
      <w:sz w:val="20"/>
      <w:szCs w:val="20"/>
    </w:rPr>
  </w:style>
  <w:style w:type="paragraph" w:styleId="149">
    <w:name w:val="Quote"/>
    <w:basedOn w:val="1"/>
    <w:next w:val="1"/>
    <w:link w:val="150"/>
    <w:autoRedefine/>
    <w:qFormat/>
    <w:uiPriority w:val="29"/>
    <w:rPr>
      <w:i/>
      <w:iCs/>
      <w:color w:val="000000" w:themeColor="text1"/>
      <w14:textFill>
        <w14:solidFill>
          <w14:schemeClr w14:val="tx1"/>
        </w14:solidFill>
      </w14:textFill>
    </w:rPr>
  </w:style>
  <w:style w:type="character" w:customStyle="1" w:styleId="150">
    <w:name w:val="引用 字符"/>
    <w:basedOn w:val="133"/>
    <w:link w:val="149"/>
    <w:autoRedefine/>
    <w:qFormat/>
    <w:uiPriority w:val="29"/>
    <w:rPr>
      <w:i/>
      <w:iCs/>
      <w:color w:val="000000" w:themeColor="text1"/>
      <w14:textFill>
        <w14:solidFill>
          <w14:schemeClr w14:val="tx1"/>
        </w14:solidFill>
      </w14:textFill>
    </w:rPr>
  </w:style>
  <w:style w:type="character" w:customStyle="1" w:styleId="151">
    <w:name w:val="标题 4 字符"/>
    <w:basedOn w:val="133"/>
    <w:link w:val="6"/>
    <w:autoRedefine/>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标题 5 字符"/>
    <w:basedOn w:val="133"/>
    <w:link w:val="7"/>
    <w:autoRedefine/>
    <w:semiHidden/>
    <w:qFormat/>
    <w:uiPriority w:val="9"/>
    <w:rPr>
      <w:rFonts w:asciiTheme="majorHAnsi" w:hAnsiTheme="majorHAnsi" w:eastAsiaTheme="majorEastAsia" w:cstheme="majorBidi"/>
      <w:color w:val="254061" w:themeColor="accent1" w:themeShade="80"/>
    </w:rPr>
  </w:style>
  <w:style w:type="character" w:customStyle="1" w:styleId="153">
    <w:name w:val="标题 6 字符"/>
    <w:basedOn w:val="133"/>
    <w:link w:val="8"/>
    <w:autoRedefine/>
    <w:semiHidden/>
    <w:qFormat/>
    <w:uiPriority w:val="9"/>
    <w:rPr>
      <w:rFonts w:asciiTheme="majorHAnsi" w:hAnsiTheme="majorHAnsi" w:eastAsiaTheme="majorEastAsia" w:cstheme="majorBidi"/>
      <w:i/>
      <w:iCs/>
      <w:color w:val="254061" w:themeColor="accent1" w:themeShade="80"/>
    </w:rPr>
  </w:style>
  <w:style w:type="character" w:customStyle="1" w:styleId="154">
    <w:name w:val="标题 7 字符"/>
    <w:basedOn w:val="133"/>
    <w:link w:val="9"/>
    <w:autoRedefine/>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标题 8 字符"/>
    <w:basedOn w:val="133"/>
    <w:link w:val="10"/>
    <w:autoRedefine/>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标题 9 字符"/>
    <w:basedOn w:val="133"/>
    <w:link w:val="11"/>
    <w:autoRedefine/>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autoRedefine/>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明显引用 字符"/>
    <w:basedOn w:val="133"/>
    <w:link w:val="157"/>
    <w:autoRedefine/>
    <w:qFormat/>
    <w:uiPriority w:val="30"/>
    <w:rPr>
      <w:b/>
      <w:bCs/>
      <w:i/>
      <w:iCs/>
      <w:color w:val="4F81BD" w:themeColor="accent1"/>
      <w14:textFill>
        <w14:solidFill>
          <w14:schemeClr w14:val="accent1"/>
        </w14:solidFill>
      </w14:textFill>
    </w:rPr>
  </w:style>
  <w:style w:type="character" w:customStyle="1" w:styleId="159">
    <w:name w:val="不明显强调1"/>
    <w:basedOn w:val="133"/>
    <w:autoRedefine/>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明显强调1"/>
    <w:basedOn w:val="133"/>
    <w:autoRedefine/>
    <w:qFormat/>
    <w:uiPriority w:val="21"/>
    <w:rPr>
      <w:b/>
      <w:bCs/>
      <w:i/>
      <w:iCs/>
      <w:color w:val="4F81BD" w:themeColor="accent1"/>
      <w14:textFill>
        <w14:solidFill>
          <w14:schemeClr w14:val="accent1"/>
        </w14:solidFill>
      </w14:textFill>
    </w:rPr>
  </w:style>
  <w:style w:type="character" w:customStyle="1" w:styleId="161">
    <w:name w:val="不明显参考1"/>
    <w:basedOn w:val="133"/>
    <w:qFormat/>
    <w:uiPriority w:val="31"/>
    <w:rPr>
      <w:smallCaps/>
      <w:color w:val="C0504D" w:themeColor="accent2"/>
      <w:u w:val="single"/>
      <w14:textFill>
        <w14:solidFill>
          <w14:schemeClr w14:val="accent2"/>
        </w14:solidFill>
      </w14:textFill>
    </w:rPr>
  </w:style>
  <w:style w:type="character" w:customStyle="1" w:styleId="162">
    <w:name w:val="明显参考1"/>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书籍标题1"/>
    <w:basedOn w:val="133"/>
    <w:qFormat/>
    <w:uiPriority w:val="33"/>
    <w:rPr>
      <w:b/>
      <w:bCs/>
      <w:smallCaps/>
      <w:spacing w:val="5"/>
    </w:rPr>
  </w:style>
  <w:style w:type="paragraph" w:customStyle="1" w:styleId="164">
    <w:name w:val="TOC 标题1"/>
    <w:basedOn w:val="3"/>
    <w:next w:val="1"/>
    <w:semiHidden/>
    <w:unhideWhenUsed/>
    <w:qFormat/>
    <w:uiPriority w:val="39"/>
    <w:pPr>
      <w:outlineLvl w:val="9"/>
    </w:pPr>
  </w:style>
  <w:style w:type="paragraph" w:customStyle="1" w:styleId="165">
    <w:name w:val="Revision"/>
    <w:hidden/>
    <w:unhideWhenUsed/>
    <w:uiPriority w:val="99"/>
    <w:rPr>
      <w:rFonts w:ascii="Times New Roman" w:hAnsi="Times New Roman" w:eastAsia="宋体"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6</Pages>
  <Words>1772</Words>
  <Characters>1819</Characters>
  <Lines>25</Lines>
  <Paragraphs>7</Paragraphs>
  <TotalTime>105</TotalTime>
  <ScaleCrop>false</ScaleCrop>
  <LinksUpToDate>false</LinksUpToDate>
  <CharactersWithSpaces>1819</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2013-12-26T15:15:00Z</dcterms:created>
  <dc:creator>python-docx</dc:creator>
  <dc:description>generated by python-docx</dc:description>
  <cp:lastModifiedBy>—蚊—</cp:lastModifiedBy>
  <dcterms:modified xsi:type="dcterms:W3CDTF">2026-10-30T09:48:52Z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F8643E689E3D4CEF82FFC550EDF2D705_13</vt:lpwstr>
  </property>
  <property fmtid="{D5CDD505-2E9C-101B-9397-08002B2CF9AE}" pid="4" name="KSOTemplateDocerSaveRecord">
    <vt:lpwstr>eyJoZGlkIjoiYTEwZDU5NzQ2M2JiZGNjYzZkMTMyNWE4NzQ1ODJmN2UiLCJ1c2VySWQiOiI2MDQ4NDc2MTcifQ==</vt:lpwstr>
  </property>
</Properties>
</file>