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EFBA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textAlignment w:val="auto"/>
        <w:rPr>
          <w:rFonts w:hint="eastAsia" w:ascii="黑体" w:hAnsi="黑体" w:eastAsia="黑体" w:cs="黑体"/>
          <w:b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 w:bidi="ar-SA"/>
        </w:rPr>
        <w:t>附件3：申报说明</w:t>
      </w:r>
    </w:p>
    <w:p w14:paraId="31720CF2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sz w:val="32"/>
          <w:szCs w:val="32"/>
          <w:lang w:val="en-US" w:eastAsia="zh-CN"/>
        </w:rPr>
        <w:t>征集对象</w:t>
      </w:r>
    </w:p>
    <w:p w14:paraId="24F00F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sz w:val="32"/>
          <w:szCs w:val="32"/>
        </w:rPr>
        <w:t>1. 有数字化、网络化、智能化转型需求的工业企业、制造业企业、园区及行业机构；</w:t>
      </w:r>
    </w:p>
    <w:p w14:paraId="704CC9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sz w:val="32"/>
          <w:szCs w:val="32"/>
        </w:rPr>
        <w:t>2. 工业互联网平台企业、人工智能企业、智能制造服务商、系统集成商、数据服务商、工业软件企业；</w:t>
      </w:r>
    </w:p>
    <w:p w14:paraId="785FD1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sz w:val="32"/>
          <w:szCs w:val="32"/>
        </w:rPr>
        <w:t>3. 围绕工业智能体、设备联网、生产优化、质量管控、供应链协同、能源管理、安全生产、工业数据治理等方向提供成熟产品、解决方案或应用案例的单位；</w:t>
      </w:r>
    </w:p>
    <w:p w14:paraId="2B9013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sz w:val="32"/>
          <w:szCs w:val="32"/>
        </w:rPr>
        <w:t>4. 有意参与产业生态共建、项目合作、场景落地、投资合作的相关机构。</w:t>
      </w:r>
    </w:p>
    <w:p w14:paraId="0A8720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sz w:val="32"/>
          <w:szCs w:val="32"/>
          <w:lang w:val="en-US" w:eastAsia="zh-CN"/>
        </w:rPr>
        <w:t>二、申报说明</w:t>
      </w:r>
    </w:p>
    <w:tbl>
      <w:tblPr>
        <w:tblStyle w:val="32"/>
        <w:tblW w:w="973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6"/>
        <w:gridCol w:w="2747"/>
        <w:gridCol w:w="2717"/>
        <w:gridCol w:w="2669"/>
      </w:tblGrid>
      <w:tr w14:paraId="43A02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0" w:hRule="atLeast"/>
          <w:tblHeader/>
          <w:jc w:val="center"/>
        </w:trPr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71D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  <w:t>征集方向</w:t>
            </w:r>
          </w:p>
        </w:tc>
        <w:tc>
          <w:tcPr>
            <w:tcW w:w="2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69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  <w:t>主要内容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D6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  <w:t>需求方可填写的能力需求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3D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  <w:t>供给方可提供的能力</w:t>
            </w:r>
          </w:p>
        </w:tc>
      </w:tr>
      <w:tr w14:paraId="7ED4B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83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平台运营类</w:t>
            </w:r>
          </w:p>
        </w:tc>
        <w:tc>
          <w:tcPr>
            <w:tcW w:w="2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B4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围绕工业互联网平台建设、使用和运营，覆盖双跨平台、行业级平台、区域级平台、企业级平台等，重点关注设备接入、数据汇聚、应用开发、资源协同等公共服务能力。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A0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设备接入、数据汇聚、工业数据管理、平台应用开发、开放接口、跨企业资源协同、区域或行业平台运营等能力。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54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平台建设运营、设备接入管理、工业数据汇聚、工业APP开发、开放API、行业资源协同、企业上云上平台等服务。</w:t>
            </w:r>
          </w:p>
        </w:tc>
      </w:tr>
      <w:tr w14:paraId="4049A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84A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解决方案与系统集成类</w:t>
            </w:r>
          </w:p>
        </w:tc>
        <w:tc>
          <w:tcPr>
            <w:tcW w:w="2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AE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面向特定行业或场景，开展工业互联网整体解决方案、系统集成、项目实施与运维服务，通常以项目制方式推进。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0D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行业数字化转型方案、智能工厂建设、生产线数字化改造、系统集成实施、项目运维、多系统打通、工业现场改造等能力。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1A9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行业解决方案、智能工厂建设、生产线数字化改造、系统集成、项目实施交付、运维服务、咨询规划、软硬件一体化服务。</w:t>
            </w:r>
          </w:p>
        </w:tc>
      </w:tr>
      <w:tr w14:paraId="2B781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DF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设备与连接类</w:t>
            </w:r>
          </w:p>
        </w:tc>
        <w:tc>
          <w:tcPr>
            <w:tcW w:w="2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607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围绕工业现场设备联网、数据采集、协议解析、边缘计算和工业网络建设，涉及工业传感器、智能网关、边缘设备、5G、TSN、工业以太网等方向。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72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设备联网、协议转换、工业数据采集、边缘计算、工业网络部署、现场设备状态监测等能力。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72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工业传感器、智能网关、边缘计算设备、工业网络设备、设备联网、协议解析、数据采集、现场部署等产品与服务。</w:t>
            </w:r>
          </w:p>
        </w:tc>
      </w:tr>
      <w:tr w14:paraId="7843A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78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工业软件与SaaS应用类</w:t>
            </w:r>
          </w:p>
        </w:tc>
        <w:tc>
          <w:tcPr>
            <w:tcW w:w="2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54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围绕研发设计、生产管理、经营管理、工业APP和低代码开发等软件应用，涵盖CAD、CAE、CAM、MES、APS、ERP、SCM、工业SaaS等。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0E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研发设计软件、生产排程、制造执行、企业资源管理、供应链管理、工业APP、低代码开发、云端SaaS服务等能力。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B1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工业软件、SaaS应用、工业APP、低代码平台、研发设计工具、生产管理系统、经营管理系统、供应链协同系统、平台对接服务。</w:t>
            </w:r>
          </w:p>
        </w:tc>
      </w:tr>
      <w:tr w14:paraId="4F240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17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数据智能、AI与工业智能体类</w:t>
            </w:r>
          </w:p>
        </w:tc>
        <w:tc>
          <w:tcPr>
            <w:tcW w:w="2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51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基于工业大数据、人工智能、大模型、工业智能体、数字孪生等技术，面向数据分析、预测性维护、工艺优化、质量检测、智能决策、流程自动化、智能问答和设备运维辅助等场景服务。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0B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工业数据分析、AI模型应用、工业大模型应用、工业智能体应用、预测性维护、质量检测、工艺优化、能耗优化、智能排产、智能问答、流程自动化、数字孪生建模等能力。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C8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工业大数据分析、AI算法模型、工业大模型应用、工业智能体、预测性维护、机器视觉质检、工艺优化、智能决策、数字孪生、数据治理、私有化部署和行业定制服务。</w:t>
            </w:r>
          </w:p>
        </w:tc>
      </w:tr>
      <w:tr w14:paraId="619E0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7F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安全服务类</w:t>
            </w:r>
          </w:p>
        </w:tc>
        <w:tc>
          <w:tcPr>
            <w:tcW w:w="2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97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围绕工业互联网安全防护、安全监测、风险评估、应急响应和安全合规，覆盖设备、网络、平台、应用和数据等层级。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C8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工业防火墙、入侵检测、安全审计、漏洞扫描、风险评估、安全监测平台、数据安全治理、应急响应、安全合规咨询等能力。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34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工业安全防护产品、工业防火墙、入侵检测、安全审计、安全监测平台、风险评估、漏洞扫描、应急响应、数据安全、安全合规咨询等服务。</w:t>
            </w:r>
          </w:p>
        </w:tc>
      </w:tr>
    </w:tbl>
    <w:p w14:paraId="0C7EED52">
      <w:bookmarkStart w:id="0" w:name="_GoBack"/>
      <w:bookmarkEnd w:id="0"/>
    </w:p>
    <w:sectPr>
      <w:footerReference r:id="rId5" w:type="default"/>
      <w:pgSz w:w="11906" w:h="16838"/>
      <w:pgMar w:top="1361" w:right="1417" w:bottom="1247" w:left="1417" w:header="680" w:footer="68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EF" w:usb1="C0007841" w:usb2="00000009" w:usb3="00000000" w:csb0="400001FF" w:csb1="FFFF0000"/>
  </w:font>
  <w:font w:name="宋体">
    <w:altName w:val="汉仪书宋二KW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ongti SC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altName w:val="Hiragino Sans"/>
    <w:panose1 w:val="020B0400000000000000"/>
    <w:charset w:val="80"/>
    <w:family w:val="auto"/>
    <w:pitch w:val="default"/>
    <w:sig w:usb0="00000000" w:usb1="00000000" w:usb2="00000016" w:usb3="00000000" w:csb0="200200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D23B29">
    <w:pPr>
      <w:pStyle w:val="24"/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55CDC6">
                          <w:pPr>
                            <w:pStyle w:val="2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55CDC6">
                    <w:pPr>
                      <w:pStyle w:val="2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BD5022"/>
    <w:multiLevelType w:val="singleLevel"/>
    <w:tmpl w:val="BDBD502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2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4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5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6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289056A2"/>
    <w:rsid w:val="39BF2EDB"/>
    <w:rsid w:val="3BEFAF71"/>
    <w:rsid w:val="44137209"/>
    <w:rsid w:val="452534ED"/>
    <w:rsid w:val="5FB775C5"/>
    <w:rsid w:val="675710A3"/>
    <w:rsid w:val="73FE853C"/>
    <w:rsid w:val="B77C0819"/>
    <w:rsid w:val="BDDB6E88"/>
    <w:rsid w:val="BF7B515D"/>
    <w:rsid w:val="CAFD7814"/>
    <w:rsid w:val="CBF3D0E5"/>
    <w:rsid w:val="D3FFA214"/>
    <w:rsid w:val="DB31D8EC"/>
    <w:rsid w:val="DFFF42C6"/>
    <w:rsid w:val="EEFC6DDD"/>
    <w:rsid w:val="EFFC086F"/>
    <w:rsid w:val="F5EF266D"/>
    <w:rsid w:val="FDFD1F3D"/>
    <w:rsid w:val="FFBFD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unhideWhenUsed="0" w:uiPriority="71" w:semiHidden="0" w:name="Colorful Shading Accent 4"/>
    <w:lsdException w:qFormat="1"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264" w:lineRule="auto"/>
    </w:pPr>
    <w:rPr>
      <w:rFonts w:ascii="Songti SC" w:hAnsi="Songti SC" w:eastAsia="Songti SC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9"/>
    <w:qFormat/>
    <w:uiPriority w:val="9"/>
    <w:pPr>
      <w:keepNext/>
      <w:keepLines/>
      <w:spacing w:before="240" w:after="120"/>
      <w:outlineLvl w:val="0"/>
    </w:pPr>
    <w:rPr>
      <w:rFonts w:asciiTheme="majorHAnsi" w:hAnsiTheme="majorHAnsi" w:eastAsiaTheme="majorEastAsia" w:cstheme="majorBidi"/>
      <w:b/>
      <w:bCs/>
      <w:color w:val="2E74B5"/>
      <w:sz w:val="30"/>
      <w:szCs w:val="28"/>
    </w:rPr>
  </w:style>
  <w:style w:type="paragraph" w:styleId="4">
    <w:name w:val="heading 2"/>
    <w:basedOn w:val="1"/>
    <w:next w:val="1"/>
    <w:link w:val="140"/>
    <w:unhideWhenUsed/>
    <w:qFormat/>
    <w:uiPriority w:val="9"/>
    <w:pPr>
      <w:keepNext/>
      <w:keepLines/>
      <w:spacing w:before="240" w:after="120"/>
      <w:outlineLvl w:val="1"/>
    </w:pPr>
    <w:rPr>
      <w:rFonts w:asciiTheme="majorHAnsi" w:hAnsiTheme="majorHAnsi" w:eastAsiaTheme="majorEastAsia" w:cstheme="majorBidi"/>
      <w:b/>
      <w:bCs/>
      <w:color w:val="1F4D78"/>
      <w:sz w:val="25"/>
      <w:szCs w:val="26"/>
    </w:rPr>
  </w:style>
  <w:style w:type="paragraph" w:styleId="5">
    <w:name w:val="heading 3"/>
    <w:basedOn w:val="1"/>
    <w:next w:val="1"/>
    <w:link w:val="141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8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7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5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6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page number"/>
    <w:basedOn w:val="132"/>
    <w:qFormat/>
    <w:uiPriority w:val="0"/>
  </w:style>
  <w:style w:type="character" w:styleId="135">
    <w:name w:val="Emphasis"/>
    <w:basedOn w:val="132"/>
    <w:qFormat/>
    <w:uiPriority w:val="20"/>
    <w:rPr>
      <w:i/>
      <w:iCs/>
    </w:rPr>
  </w:style>
  <w:style w:type="character" w:customStyle="1" w:styleId="136">
    <w:name w:val="Header Char"/>
    <w:basedOn w:val="132"/>
    <w:link w:val="25"/>
    <w:uiPriority w:val="99"/>
  </w:style>
  <w:style w:type="character" w:customStyle="1" w:styleId="137">
    <w:name w:val="Footer Char"/>
    <w:basedOn w:val="132"/>
    <w:link w:val="24"/>
    <w:qFormat/>
    <w:uiPriority w:val="99"/>
  </w:style>
  <w:style w:type="paragraph" w:styleId="13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9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0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1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2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3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Body Text Char"/>
    <w:basedOn w:val="132"/>
    <w:link w:val="19"/>
    <w:uiPriority w:val="99"/>
  </w:style>
  <w:style w:type="character" w:customStyle="1" w:styleId="146">
    <w:name w:val="Body Text 2 Char"/>
    <w:basedOn w:val="132"/>
    <w:link w:val="28"/>
    <w:uiPriority w:val="99"/>
  </w:style>
  <w:style w:type="character" w:customStyle="1" w:styleId="147">
    <w:name w:val="Body Text 3 Char"/>
    <w:basedOn w:val="132"/>
    <w:link w:val="17"/>
    <w:uiPriority w:val="99"/>
    <w:rPr>
      <w:sz w:val="16"/>
      <w:szCs w:val="16"/>
    </w:rPr>
  </w:style>
  <w:style w:type="character" w:customStyle="1" w:styleId="148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9">
    <w:name w:val="Quote"/>
    <w:basedOn w:val="1"/>
    <w:next w:val="1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Quote Char"/>
    <w:basedOn w:val="132"/>
    <w:link w:val="149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2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3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4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5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6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7">
    <w:name w:val="Intense Quote"/>
    <w:basedOn w:val="1"/>
    <w:next w:val="1"/>
    <w:link w:val="158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Intense Quote Char"/>
    <w:basedOn w:val="132"/>
    <w:link w:val="157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0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2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3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4">
    <w:name w:val="TOC Heading"/>
    <w:basedOn w:val="3"/>
    <w:next w:val="1"/>
    <w:semiHidden/>
    <w:unhideWhenUsed/>
    <w:qFormat/>
    <w:uiPriority w:val="39"/>
    <w:pPr>
      <w:outlineLvl w:val="9"/>
    </w:pPr>
  </w:style>
  <w:style w:type="paragraph" w:customStyle="1" w:styleId="165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  <w:style w:type="table" w:customStyle="1" w:styleId="16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tyleName="APA" SelectedStyle="/APA.XSL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3095</Words>
  <Characters>3317</Characters>
  <Lines>0</Lines>
  <Paragraphs>0</Paragraphs>
  <TotalTime>0</TotalTime>
  <ScaleCrop>false</ScaleCrop>
  <LinksUpToDate>false</LinksUpToDate>
  <CharactersWithSpaces>3373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2013-12-26T23:15:00Z</dcterms:created>
  <dc:creator>python-docx</dc:creator>
  <dc:description>generated by python-docx</dc:description>
  <cp:lastModifiedBy>端端</cp:lastModifiedBy>
  <dcterms:modified xsi:type="dcterms:W3CDTF">2026-08-03T16:31:42Z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29BB64FCD77D880563E4696A98656234_43</vt:lpwstr>
  </property>
  <property fmtid="{D5CDD505-2E9C-101B-9397-08002B2CF9AE}" pid="4" name="KSOTemplateDocerSaveRecord">
    <vt:lpwstr>eyJoZGlkIjoiZWY5NTRlMTQ1NzY5MzU5ZDkzYzhkOGNhNmIxNDhhNGQiLCJ1c2VySWQiOiIxNDg5MTE0OTQifQ==</vt:lpwstr>
  </property>
</Properties>
</file>