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pPr>
        <w:spacing w:line="550" w:lineRule="exact"/>
        <w:jc w:val="center"/>
        <w:rPr>
          <w:rFonts w:hint="eastAsia" w:ascii="方正小标宋简体" w:eastAsia="方正小标宋简体"/>
          <w:sz w:val="44"/>
          <w:szCs w:val="44"/>
          <w:highlight w:val="none"/>
          <w:lang w:val="en-US" w:eastAsia="zh-CN"/>
        </w:rPr>
      </w:pPr>
    </w:p>
    <w:p>
      <w:pPr>
        <w:spacing w:line="550" w:lineRule="exact"/>
        <w:jc w:val="center"/>
        <w:rPr>
          <w:rFonts w:hint="eastAsia" w:ascii="方正小标宋简体" w:eastAsia="方正小标宋简体"/>
          <w:sz w:val="44"/>
          <w:szCs w:val="44"/>
          <w:highlight w:val="none"/>
          <w:lang w:val="en-US" w:eastAsia="zh-CN"/>
        </w:rPr>
      </w:pPr>
      <w:r>
        <w:rPr>
          <w:rFonts w:hint="eastAsia" w:ascii="方正小标宋简体" w:eastAsia="方正小标宋简体"/>
          <w:sz w:val="44"/>
          <w:szCs w:val="44"/>
          <w:highlight w:val="none"/>
          <w:lang w:val="en-US" w:eastAsia="zh-CN"/>
        </w:rPr>
        <w:t>自动监控设备安装、联网及运行维护</w:t>
      </w:r>
    </w:p>
    <w:p>
      <w:pPr>
        <w:spacing w:line="550" w:lineRule="exact"/>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lang w:val="en-US" w:eastAsia="zh-CN"/>
        </w:rPr>
        <w:t>相关标准和规范</w:t>
      </w:r>
    </w:p>
    <w:p>
      <w:pPr>
        <w:spacing w:line="550" w:lineRule="exact"/>
        <w:ind w:firstLine="640" w:firstLineChars="200"/>
        <w:rPr>
          <w:rFonts w:hint="eastAsia" w:ascii="黑体" w:hAnsi="黑体" w:eastAsia="黑体"/>
          <w:sz w:val="32"/>
          <w:szCs w:val="32"/>
          <w:highlight w:val="none"/>
        </w:rPr>
      </w:pPr>
    </w:p>
    <w:p>
      <w:pPr>
        <w:spacing w:line="55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大气污染物排放自动监控设备安装联网及运行管理依据的主要技术标准及规范</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1.《固定污染源自动监控（监测）系统现场端建设技术规范》（T/CAEPI 11-2017）</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2.《固定污染源烟气排放过程（工况）监控系统安装及验收技术指南》（T/CAEPI 25-2020）</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3.《固定污染源烟气（SO</w:t>
      </w:r>
      <w:r>
        <w:rPr>
          <w:rFonts w:hint="eastAsia" w:ascii="仿宋_GB2312" w:eastAsia="仿宋_GB2312"/>
          <w:sz w:val="32"/>
          <w:szCs w:val="32"/>
          <w:highlight w:val="none"/>
          <w:vertAlign w:val="subscript"/>
        </w:rPr>
        <w:t>2</w:t>
      </w:r>
      <w:r>
        <w:rPr>
          <w:rFonts w:hint="eastAsia" w:ascii="仿宋_GB2312" w:eastAsia="仿宋_GB2312"/>
          <w:sz w:val="32"/>
          <w:szCs w:val="32"/>
          <w:highlight w:val="none"/>
        </w:rPr>
        <w:t>、NOx、颗粒物）排放连续监测技术规范》（HJ 75-2017）</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4.《固定污染源烟气（SO</w:t>
      </w:r>
      <w:r>
        <w:rPr>
          <w:rFonts w:hint="eastAsia" w:ascii="仿宋_GB2312" w:eastAsia="仿宋_GB2312"/>
          <w:sz w:val="32"/>
          <w:szCs w:val="32"/>
          <w:highlight w:val="none"/>
          <w:vertAlign w:val="subscript"/>
        </w:rPr>
        <w:t>2</w:t>
      </w:r>
      <w:r>
        <w:rPr>
          <w:rFonts w:hint="eastAsia" w:ascii="仿宋_GB2312" w:eastAsia="仿宋_GB2312"/>
          <w:sz w:val="32"/>
          <w:szCs w:val="32"/>
          <w:highlight w:val="none"/>
        </w:rPr>
        <w:t>、NOx、颗粒物）排放连续监测系统技术要求及检测方法》（HJ 76-2017）</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5.《固定污染源排气中颗粒物测定与气态污染物采样方法》（GB/T 16157-1996）及其修改单</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6.《污染治理设施运行记录仪技术要求及检测方法》（HJ/T 378-2007）</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7.《污染物在线监控（监测）系统数据传输标准》（HJ 212-2017）</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8.《污染源在线自动监控（监测）系统数据采集传输仪技术要求》（HJ 477-2009）</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9.《固定污染源废气非甲烷总烃连续监测系统技术要求及检测方法》（HJ 1013-2018）</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《固定污染源废气 非甲烷总烃连续监测技术规范》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HJ 1286-2023</w:t>
      </w:r>
      <w:r>
        <w:rPr>
          <w:rFonts w:hint="eastAsia" w:ascii="仿宋_GB2312" w:eastAsia="仿宋_GB2312"/>
          <w:sz w:val="32"/>
          <w:szCs w:val="32"/>
          <w:highlight w:val="none"/>
          <w:lang w:eastAsia="zh-CN"/>
        </w:rPr>
        <w:t>）</w:t>
      </w:r>
    </w:p>
    <w:p>
      <w:pPr>
        <w:spacing w:line="55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水污染物排放自动监控设备安装联网及运行管理依据的主要技术标准及规范等相关文件</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1.《固定污染源自动监控（监测）系统现场端建设技术规范》（T/CAEPI 11-2017）</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2.《城镇污水处理厂污染排放过程（工况）监控系统技术指南》（T/CAEPI 18-2019）</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3.《水污染源在线监测系统（COD</w:t>
      </w:r>
      <w:r>
        <w:rPr>
          <w:rFonts w:hint="eastAsia" w:ascii="仿宋_GB2312" w:eastAsia="仿宋_GB2312"/>
          <w:sz w:val="32"/>
          <w:szCs w:val="32"/>
          <w:highlight w:val="none"/>
          <w:vertAlign w:val="subscript"/>
        </w:rPr>
        <w:t>Cr</w:t>
      </w:r>
      <w:r>
        <w:rPr>
          <w:rFonts w:hint="eastAsia" w:ascii="仿宋_GB2312" w:eastAsia="仿宋_GB2312"/>
          <w:sz w:val="32"/>
          <w:szCs w:val="32"/>
          <w:highlight w:val="none"/>
        </w:rPr>
        <w:t>、NH</w:t>
      </w:r>
      <w:r>
        <w:rPr>
          <w:rFonts w:hint="eastAsia" w:ascii="仿宋_GB2312" w:eastAsia="仿宋_GB2312"/>
          <w:sz w:val="32"/>
          <w:szCs w:val="32"/>
          <w:highlight w:val="none"/>
          <w:vertAlign w:val="subscript"/>
        </w:rPr>
        <w:t>3</w:t>
      </w:r>
      <w:r>
        <w:rPr>
          <w:rFonts w:hint="eastAsia" w:ascii="仿宋_GB2312" w:eastAsia="仿宋_GB2312"/>
          <w:sz w:val="32"/>
          <w:szCs w:val="32"/>
          <w:highlight w:val="none"/>
        </w:rPr>
        <w:t>-N 等）安装技术规范》（HJ 353-2019）</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4.《水污染源在线监测系统（COD</w:t>
      </w:r>
      <w:r>
        <w:rPr>
          <w:rFonts w:hint="eastAsia" w:ascii="仿宋_GB2312" w:eastAsia="仿宋_GB2312"/>
          <w:sz w:val="32"/>
          <w:szCs w:val="32"/>
          <w:highlight w:val="none"/>
          <w:vertAlign w:val="subscript"/>
        </w:rPr>
        <w:t>Cr</w:t>
      </w:r>
      <w:r>
        <w:rPr>
          <w:rFonts w:hint="eastAsia" w:ascii="仿宋_GB2312" w:eastAsia="仿宋_GB2312"/>
          <w:sz w:val="32"/>
          <w:szCs w:val="32"/>
          <w:highlight w:val="none"/>
        </w:rPr>
        <w:t>、NH</w:t>
      </w:r>
      <w:r>
        <w:rPr>
          <w:rFonts w:hint="eastAsia" w:ascii="仿宋_GB2312" w:eastAsia="仿宋_GB2312"/>
          <w:sz w:val="32"/>
          <w:szCs w:val="32"/>
          <w:highlight w:val="none"/>
          <w:vertAlign w:val="subscript"/>
        </w:rPr>
        <w:t>3</w:t>
      </w:r>
      <w:r>
        <w:rPr>
          <w:rFonts w:hint="eastAsia" w:ascii="仿宋_GB2312" w:eastAsia="仿宋_GB2312"/>
          <w:sz w:val="32"/>
          <w:szCs w:val="32"/>
          <w:highlight w:val="none"/>
        </w:rPr>
        <w:t>-N 等）验收技术规范》（HJ 354-2019）</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5.《水污染源在线监测系统（COD</w:t>
      </w:r>
      <w:r>
        <w:rPr>
          <w:rFonts w:hint="eastAsia" w:ascii="仿宋_GB2312" w:eastAsia="仿宋_GB2312"/>
          <w:sz w:val="32"/>
          <w:szCs w:val="32"/>
          <w:highlight w:val="none"/>
          <w:vertAlign w:val="subscript"/>
        </w:rPr>
        <w:t>Cr</w:t>
      </w:r>
      <w:r>
        <w:rPr>
          <w:rFonts w:hint="eastAsia" w:ascii="仿宋_GB2312" w:eastAsia="仿宋_GB2312"/>
          <w:sz w:val="32"/>
          <w:szCs w:val="32"/>
          <w:highlight w:val="none"/>
        </w:rPr>
        <w:t>、NH</w:t>
      </w:r>
      <w:r>
        <w:rPr>
          <w:rFonts w:hint="eastAsia" w:ascii="仿宋_GB2312" w:eastAsia="仿宋_GB2312"/>
          <w:sz w:val="32"/>
          <w:szCs w:val="32"/>
          <w:highlight w:val="none"/>
          <w:vertAlign w:val="subscript"/>
        </w:rPr>
        <w:t>3</w:t>
      </w:r>
      <w:r>
        <w:rPr>
          <w:rFonts w:hint="eastAsia" w:ascii="仿宋_GB2312" w:eastAsia="仿宋_GB2312"/>
          <w:sz w:val="32"/>
          <w:szCs w:val="32"/>
          <w:highlight w:val="none"/>
        </w:rPr>
        <w:t>-N 等）运行技术规范》（HJ 355-2019）</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6.《水污染源在线监测系统（COD</w:t>
      </w:r>
      <w:r>
        <w:rPr>
          <w:rFonts w:hint="eastAsia" w:ascii="仿宋_GB2312" w:eastAsia="仿宋_GB2312"/>
          <w:sz w:val="32"/>
          <w:szCs w:val="32"/>
          <w:highlight w:val="none"/>
          <w:vertAlign w:val="subscript"/>
        </w:rPr>
        <w:t>Cr</w:t>
      </w:r>
      <w:r>
        <w:rPr>
          <w:rFonts w:hint="eastAsia" w:ascii="仿宋_GB2312" w:eastAsia="仿宋_GB2312"/>
          <w:sz w:val="32"/>
          <w:szCs w:val="32"/>
          <w:highlight w:val="none"/>
        </w:rPr>
        <w:t>、NH</w:t>
      </w:r>
      <w:r>
        <w:rPr>
          <w:rFonts w:hint="eastAsia" w:ascii="仿宋_GB2312" w:eastAsia="仿宋_GB2312"/>
          <w:sz w:val="32"/>
          <w:szCs w:val="32"/>
          <w:highlight w:val="none"/>
          <w:vertAlign w:val="subscript"/>
        </w:rPr>
        <w:t>3</w:t>
      </w:r>
      <w:r>
        <w:rPr>
          <w:rFonts w:hint="eastAsia" w:ascii="仿宋_GB2312" w:eastAsia="仿宋_GB2312"/>
          <w:sz w:val="32"/>
          <w:szCs w:val="32"/>
          <w:highlight w:val="none"/>
        </w:rPr>
        <w:t>-N 等）数据有效性判别技术规范》（HJ 356-2019）</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7.《污染治理设施运行记录仪技术要求及检测方法》（HJ/T 378-2007）</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8. 《化学需氧量（COD</w:t>
      </w:r>
      <w:r>
        <w:rPr>
          <w:rFonts w:hint="eastAsia" w:ascii="仿宋_GB2312" w:eastAsia="仿宋_GB2312"/>
          <w:sz w:val="32"/>
          <w:szCs w:val="32"/>
          <w:highlight w:val="none"/>
          <w:vertAlign w:val="subscript"/>
        </w:rPr>
        <w:t>Cr</w:t>
      </w:r>
      <w:r>
        <w:rPr>
          <w:rFonts w:hint="eastAsia" w:ascii="仿宋_GB2312" w:eastAsia="仿宋_GB2312"/>
          <w:sz w:val="32"/>
          <w:szCs w:val="32"/>
          <w:highlight w:val="none"/>
        </w:rPr>
        <w:t>）水质在线自动监测仪技术要求及检测方法》（HJ 377-2019）</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9.《超声波明渠污水流量计技术要求及检测方法》（HJ 15-2019）</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10.《环境保护产品技术要求 电磁管道流量计》（HJ/T 367-2007）</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11.《环境保护产品技术要求 超声波管道流量计》（HJ/T 366-2007）</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12.《水质自动采样器技术要求及检测方法》（HJ/T 372-2007）</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13.《氨氮水质在线自动监测仪技术要求及检测方法》（HJ 101-2019）</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14.《pH水质自动分析仪技术要求》（HJ/T 96-2003）</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15.《总磷水质自动分析仪技术要求》（HJ/T 103-2003）</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16.《总氮水质自动分析仪技术要求》（HJ/T 102-2003）</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17.《污染物在线监控（监测）系统数据传输标准》（HJ 212-2017）</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18.《污染源在线自动监控（监测）系统数据采集传输仪技术要求》（HJ 477-2009）</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19.生态环境部《关于加强固定污染源氮磷污染防治的通知》（环水体〔2018〕16号）附件</w:t>
      </w:r>
    </w:p>
    <w:p>
      <w:pPr>
        <w:spacing w:line="55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以上标准规范内容可在生态环境部网站(https://www.mee.gov.cn/ywgz/fgbz/)或生态环境部污染源监控中心网站（http://www.envsc.cn）查询。</w:t>
      </w:r>
    </w:p>
    <w:p>
      <w:bookmarkStart w:id="0" w:name="_GoBack"/>
      <w:bookmarkEnd w:id="0"/>
    </w:p>
    <w:sectPr>
      <w:foot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exact"/>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51</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pStyle w:val="2"/>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51</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NmM3ZGU0MzFkYTQzMTExZDdhYTk5MDczNzcxNmUifQ=="/>
  </w:docVars>
  <w:rsids>
    <w:rsidRoot w:val="214F733A"/>
    <w:rsid w:val="03DB4F3E"/>
    <w:rsid w:val="214F7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2024-05-30T06:30:00Z</dcterms:created>
  <dc:creator>赵旭</dc:creator>
  <cp:lastModifiedBy>赵旭</cp:lastModifiedBy>
  <dcterms:modified xsi:type="dcterms:W3CDTF">2024-05-30T06:31:04Z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40D6B7D9CE9C4782BFFDF18A98969687_13</vt:lpwstr>
  </property>
</Properties>
</file>