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2" w:beforeLines="600" w:after="312" w:afterLines="100"/>
        <w:jc w:val="center"/>
        <w:rPr>
          <w:rFonts w:ascii="微软雅黑" w:hAnsi="微软雅黑" w:eastAsia="微软雅黑"/>
          <w:b/>
          <w:snapToGrid w:val="0"/>
          <w:sz w:val="44"/>
          <w:szCs w:val="44"/>
        </w:rPr>
      </w:pPr>
      <w:r>
        <w:rPr>
          <w:rFonts w:hint="eastAsia" w:ascii="微软雅黑" w:hAnsi="微软雅黑" w:eastAsia="微软雅黑"/>
          <w:b/>
          <w:snapToGrid w:val="0"/>
          <w:sz w:val="44"/>
          <w:szCs w:val="44"/>
        </w:rPr>
        <w:t>“污泥处理处置降本增效</w:t>
      </w:r>
      <w:r>
        <w:rPr>
          <w:rFonts w:ascii="微软雅黑" w:hAnsi="微软雅黑" w:eastAsia="微软雅黑"/>
          <w:b/>
          <w:snapToGrid w:val="0"/>
          <w:sz w:val="44"/>
          <w:szCs w:val="44"/>
        </w:rPr>
        <w:t>”</w:t>
      </w:r>
      <w:r>
        <w:rPr>
          <w:rFonts w:hint="eastAsia" w:ascii="微软雅黑" w:hAnsi="微软雅黑" w:eastAsia="微软雅黑"/>
          <w:b/>
          <w:snapToGrid w:val="0"/>
          <w:sz w:val="44"/>
          <w:szCs w:val="44"/>
        </w:rPr>
        <w:t>优秀案例</w:t>
      </w:r>
    </w:p>
    <w:p>
      <w:pPr>
        <w:jc w:val="center"/>
        <w:rPr>
          <w:rFonts w:ascii="微软雅黑" w:hAnsi="微软雅黑" w:eastAsia="微软雅黑"/>
          <w:b/>
          <w:snapToGrid w:val="0"/>
          <w:sz w:val="44"/>
          <w:szCs w:val="44"/>
        </w:rPr>
      </w:pPr>
      <w:r>
        <w:rPr>
          <w:rFonts w:hint="eastAsia" w:ascii="微软雅黑" w:hAnsi="微软雅黑" w:eastAsia="微软雅黑"/>
          <w:b/>
          <w:snapToGrid w:val="0"/>
          <w:sz w:val="44"/>
          <w:szCs w:val="44"/>
        </w:rPr>
        <w:t>申报表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 w:hAnsi="微软雅黑" w:eastAsia="微软雅黑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 w:hAnsi="微软雅黑" w:eastAsia="微软雅黑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 w:hAnsi="微软雅黑" w:eastAsia="微软雅黑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 w:hAnsi="微软雅黑" w:eastAsia="微软雅黑"/>
          <w:snapToGrid w:val="0"/>
          <w:sz w:val="36"/>
          <w:szCs w:val="36"/>
        </w:rPr>
      </w:pPr>
    </w:p>
    <w:p>
      <w:pPr>
        <w:tabs>
          <w:tab w:val="left" w:pos="8460"/>
        </w:tabs>
        <w:autoSpaceDE w:val="0"/>
        <w:autoSpaceDN w:val="0"/>
        <w:adjustRightInd w:val="0"/>
        <w:snapToGrid w:val="0"/>
        <w:spacing w:after="624" w:afterLines="200"/>
        <w:ind w:right="23" w:rightChars="11"/>
        <w:jc w:val="left"/>
        <w:rPr>
          <w:rFonts w:ascii="微软雅黑" w:hAnsi="微软雅黑" w:eastAsia="微软雅黑"/>
          <w:snapToGrid w:val="0"/>
          <w:sz w:val="30"/>
          <w:szCs w:val="30"/>
        </w:rPr>
      </w:pPr>
    </w:p>
    <w:p>
      <w:pPr>
        <w:tabs>
          <w:tab w:val="left" w:pos="8460"/>
        </w:tabs>
        <w:autoSpaceDE w:val="0"/>
        <w:autoSpaceDN w:val="0"/>
        <w:adjustRightInd w:val="0"/>
        <w:snapToGrid w:val="0"/>
        <w:spacing w:line="480" w:lineRule="auto"/>
        <w:ind w:right="743" w:rightChars="354" w:firstLine="900" w:firstLineChars="300"/>
        <w:jc w:val="left"/>
        <w:rPr>
          <w:rFonts w:ascii="微软雅黑" w:hAnsi="微软雅黑" w:eastAsia="微软雅黑"/>
          <w:snapToGrid w:val="0"/>
          <w:sz w:val="30"/>
          <w:szCs w:val="30"/>
        </w:rPr>
      </w:pPr>
      <w:r>
        <w:rPr>
          <w:rFonts w:hint="eastAsia" w:ascii="微软雅黑" w:hAnsi="微软雅黑" w:eastAsia="微软雅黑"/>
          <w:snapToGrid w:val="0"/>
          <w:sz w:val="30"/>
          <w:szCs w:val="30"/>
        </w:rPr>
        <w:t>申报单位：</w:t>
      </w:r>
    </w:p>
    <w:p>
      <w:pPr>
        <w:tabs>
          <w:tab w:val="left" w:pos="8460"/>
        </w:tabs>
        <w:autoSpaceDE w:val="0"/>
        <w:autoSpaceDN w:val="0"/>
        <w:adjustRightInd w:val="0"/>
        <w:snapToGrid w:val="0"/>
        <w:spacing w:line="480" w:lineRule="auto"/>
        <w:ind w:right="743" w:rightChars="354" w:firstLine="900" w:firstLineChars="300"/>
        <w:jc w:val="left"/>
        <w:rPr>
          <w:rFonts w:ascii="微软雅黑" w:hAnsi="微软雅黑" w:eastAsia="微软雅黑"/>
          <w:snapToGrid w:val="0"/>
          <w:sz w:val="32"/>
          <w:szCs w:val="32"/>
        </w:rPr>
      </w:pPr>
      <w:r>
        <w:rPr>
          <w:rFonts w:hint="eastAsia" w:ascii="微软雅黑" w:hAnsi="微软雅黑" w:eastAsia="微软雅黑"/>
          <w:snapToGrid w:val="0"/>
          <w:sz w:val="30"/>
          <w:szCs w:val="30"/>
        </w:rPr>
        <w:t xml:space="preserve">申报日期：  </w:t>
      </w:r>
      <w:r>
        <w:rPr>
          <w:rFonts w:ascii="微软雅黑" w:hAnsi="微软雅黑" w:eastAsia="微软雅黑"/>
          <w:snapToGrid w:val="0"/>
          <w:sz w:val="30"/>
          <w:szCs w:val="30"/>
        </w:rPr>
        <w:t>2019</w:t>
      </w:r>
      <w:r>
        <w:rPr>
          <w:rFonts w:hint="eastAsia" w:ascii="微软雅黑" w:hAnsi="微软雅黑" w:eastAsia="微软雅黑"/>
          <w:snapToGrid w:val="0"/>
          <w:sz w:val="30"/>
          <w:szCs w:val="30"/>
        </w:rPr>
        <w:t xml:space="preserve">   年      月      日</w:t>
      </w:r>
    </w:p>
    <w:p>
      <w:pPr>
        <w:spacing w:line="40" w:lineRule="atLeast"/>
        <w:jc w:val="center"/>
        <w:rPr>
          <w:rFonts w:ascii="微软雅黑" w:hAnsi="微软雅黑" w:eastAsia="微软雅黑"/>
          <w:color w:val="000000"/>
          <w:sz w:val="3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/>
          <w:color w:val="000000"/>
          <w:sz w:val="30"/>
        </w:rPr>
        <w:t>E20环境平台编制</w:t>
      </w:r>
    </w:p>
    <w:p>
      <w:pPr>
        <w:spacing w:before="156" w:beforeLines="50" w:after="156" w:afterLines="50"/>
        <w:jc w:val="left"/>
        <w:rPr>
          <w:rFonts w:ascii="微软雅黑" w:hAnsi="微软雅黑" w:eastAsia="微软雅黑"/>
          <w:b/>
          <w:color w:val="00B0F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00B0F0"/>
          <w:sz w:val="24"/>
          <w:szCs w:val="28"/>
        </w:rPr>
        <w:t>填表说明：</w:t>
      </w:r>
    </w:p>
    <w:p>
      <w:pPr>
        <w:pStyle w:val="8"/>
        <w:numPr>
          <w:ilvl w:val="0"/>
          <w:numId w:val="1"/>
        </w:numPr>
        <w:spacing w:before="156" w:beforeLines="50"/>
        <w:ind w:left="420" w:leftChars="200" w:firstLine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案例征集范围</w:t>
      </w:r>
    </w:p>
    <w:p>
      <w:pPr>
        <w:pStyle w:val="8"/>
        <w:spacing w:before="156" w:beforeLines="50"/>
        <w:ind w:left="420" w:leftChars="200" w:firstLine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针对上海市“污泥处理处置降本增效</w:t>
      </w:r>
      <w:r>
        <w:rPr>
          <w:rFonts w:ascii="微软雅黑" w:hAnsi="微软雅黑" w:eastAsia="微软雅黑"/>
        </w:rPr>
        <w:t>”</w:t>
      </w:r>
      <w:r>
        <w:rPr>
          <w:rFonts w:hint="eastAsia" w:ascii="微软雅黑" w:hAnsi="微软雅黑" w:eastAsia="微软雅黑"/>
        </w:rPr>
        <w:t>优秀案例申报需符合如下条件：</w:t>
      </w:r>
    </w:p>
    <w:p>
      <w:pPr>
        <w:pStyle w:val="8"/>
        <w:spacing w:before="156" w:beforeLines="50"/>
        <w:ind w:left="420" w:leftChars="200" w:firstLine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1）所申报项目类别包含：</w:t>
      </w:r>
      <w:r>
        <w:rPr>
          <w:rFonts w:hint="eastAsia" w:ascii="微软雅黑" w:hAnsi="微软雅黑" w:eastAsia="微软雅黑"/>
          <w:color w:val="FF0000"/>
        </w:rPr>
        <w:t>市政污泥处理处置、河道底泥处理处置、管网污泥处理处置。</w:t>
      </w:r>
    </w:p>
    <w:p>
      <w:pPr>
        <w:pStyle w:val="8"/>
        <w:spacing w:before="156" w:beforeLines="50"/>
        <w:ind w:left="420" w:leftChars="200" w:firstLine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2）企业以</w:t>
      </w:r>
      <w:r>
        <w:rPr>
          <w:rFonts w:hint="eastAsia" w:ascii="微软雅黑" w:hAnsi="微软雅黑" w:eastAsia="微软雅黑"/>
          <w:color w:val="FF0000"/>
        </w:rPr>
        <w:t>技术解决方案</w:t>
      </w:r>
      <w:r>
        <w:rPr>
          <w:rFonts w:hint="eastAsia" w:ascii="微软雅黑" w:hAnsi="微软雅黑" w:eastAsia="微软雅黑"/>
        </w:rPr>
        <w:t>等方式参与项目某个或某些环节。</w:t>
      </w:r>
    </w:p>
    <w:p>
      <w:pPr>
        <w:pStyle w:val="8"/>
        <w:numPr>
          <w:ilvl w:val="0"/>
          <w:numId w:val="2"/>
        </w:numPr>
        <w:spacing w:before="156" w:beforeLines="5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每家企业可申报1-2个项目，同一企业申报的不同项目须采用不同的技术工艺。</w:t>
      </w:r>
    </w:p>
    <w:p>
      <w:pPr>
        <w:pStyle w:val="8"/>
        <w:numPr>
          <w:ilvl w:val="0"/>
          <w:numId w:val="2"/>
        </w:numPr>
        <w:spacing w:before="156" w:beforeLines="5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如不同企业同时申报同一项目，我们将根据具体情况对项目进行合并处理。</w:t>
      </w:r>
    </w:p>
    <w:p>
      <w:pPr>
        <w:pStyle w:val="8"/>
        <w:numPr>
          <w:ilvl w:val="0"/>
          <w:numId w:val="2"/>
        </w:numPr>
        <w:spacing w:before="156" w:beforeLines="5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表格中各项指标为案例评审重要参考资料，请认真填写；“</w:t>
      </w:r>
      <w:r>
        <w:rPr>
          <w:rFonts w:hint="eastAsia" w:ascii="微软雅黑" w:hAnsi="微软雅黑" w:eastAsia="微软雅黑" w:cs="华文中宋"/>
          <w:color w:val="C00000"/>
          <w:sz w:val="18"/>
          <w:szCs w:val="20"/>
        </w:rPr>
        <w:t>★★</w:t>
      </w:r>
      <w:r>
        <w:rPr>
          <w:rFonts w:hint="eastAsia" w:ascii="微软雅黑" w:hAnsi="微软雅黑" w:eastAsia="微软雅黑"/>
        </w:rPr>
        <w:t>”标注部分为必填项。</w:t>
      </w:r>
    </w:p>
    <w:p>
      <w:pPr>
        <w:pStyle w:val="8"/>
        <w:numPr>
          <w:ilvl w:val="0"/>
          <w:numId w:val="2"/>
        </w:numPr>
        <w:spacing w:before="156" w:beforeLines="5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表中信息默认为可公开，部分信息将</w:t>
      </w:r>
      <w:r>
        <w:rPr>
          <w:rFonts w:hint="eastAsia" w:ascii="微软雅黑" w:hAnsi="微软雅黑" w:eastAsia="微软雅黑"/>
          <w:lang w:val="en-US" w:eastAsia="zh-CN"/>
        </w:rPr>
        <w:t>在</w:t>
      </w:r>
      <w:r>
        <w:rPr>
          <w:rFonts w:hint="eastAsia" w:ascii="微软雅黑" w:hAnsi="微软雅黑" w:eastAsia="微软雅黑"/>
        </w:rPr>
        <w:t>E20编写的书籍中进行宣传，不可公开部分请在申报表中进行标注，主办方将严格过程保密。若未标注，宣传过程中如出现问题，一切后果由材料的提交方负责。</w:t>
      </w:r>
    </w:p>
    <w:p>
      <w:pPr>
        <w:pStyle w:val="8"/>
        <w:numPr>
          <w:ilvl w:val="0"/>
          <w:numId w:val="2"/>
        </w:numPr>
        <w:spacing w:before="156" w:beforeLines="5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本次案例征集活动的最终解释权归 E20 环境平台所有。</w:t>
      </w:r>
    </w:p>
    <w:p>
      <w:pPr>
        <w:spacing w:before="156" w:beforeLines="50" w:after="156" w:afterLines="50"/>
        <w:jc w:val="left"/>
        <w:rPr>
          <w:rFonts w:ascii="微软雅黑" w:hAnsi="微软雅黑" w:eastAsia="微软雅黑"/>
          <w:b/>
          <w:color w:val="00B0F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00B0F0"/>
          <w:sz w:val="24"/>
          <w:szCs w:val="28"/>
        </w:rPr>
        <w:t>填表人信息：</w:t>
      </w:r>
    </w:p>
    <w:p>
      <w:pPr>
        <w:spacing w:before="312" w:beforeLines="100" w:after="312" w:afterLines="100" w:line="240" w:lineRule="atLeast"/>
        <w:ind w:firstLine="420" w:firstLineChars="200"/>
        <w:jc w:val="left"/>
        <w:rPr>
          <w:rFonts w:ascii="微软雅黑" w:hAnsi="微软雅黑" w:eastAsia="微软雅黑" w:cstheme="minorBidi"/>
          <w:szCs w:val="22"/>
        </w:rPr>
      </w:pPr>
      <w:r>
        <w:rPr>
          <w:rFonts w:hint="eastAsia" w:ascii="微软雅黑" w:hAnsi="微软雅黑" w:eastAsia="微软雅黑" w:cstheme="minorBidi"/>
          <w:szCs w:val="22"/>
        </w:rPr>
        <w:t>姓名：</w:t>
      </w:r>
    </w:p>
    <w:p>
      <w:pPr>
        <w:spacing w:before="312" w:beforeLines="100" w:after="312" w:afterLines="100" w:line="240" w:lineRule="atLeast"/>
        <w:ind w:firstLine="420" w:firstLineChars="200"/>
        <w:jc w:val="left"/>
        <w:rPr>
          <w:rFonts w:ascii="微软雅黑" w:hAnsi="微软雅黑" w:eastAsia="微软雅黑" w:cstheme="minorBidi"/>
          <w:szCs w:val="22"/>
        </w:rPr>
      </w:pPr>
      <w:r>
        <w:rPr>
          <w:rFonts w:hint="eastAsia" w:ascii="微软雅黑" w:hAnsi="微软雅黑" w:eastAsia="微软雅黑" w:cstheme="minorBidi"/>
          <w:szCs w:val="22"/>
        </w:rPr>
        <w:t>职务：</w:t>
      </w:r>
    </w:p>
    <w:p>
      <w:pPr>
        <w:spacing w:before="312" w:beforeLines="100" w:after="312" w:afterLines="100" w:line="240" w:lineRule="atLeast"/>
        <w:ind w:firstLine="420" w:firstLineChars="200"/>
        <w:jc w:val="left"/>
        <w:rPr>
          <w:rFonts w:ascii="微软雅黑" w:hAnsi="微软雅黑" w:eastAsia="微软雅黑" w:cstheme="minorBidi"/>
          <w:szCs w:val="22"/>
        </w:rPr>
      </w:pPr>
      <w:r>
        <w:rPr>
          <w:rFonts w:hint="eastAsia" w:ascii="微软雅黑" w:hAnsi="微软雅黑" w:eastAsia="微软雅黑" w:cstheme="minorBidi"/>
          <w:szCs w:val="22"/>
        </w:rPr>
        <w:t>手机：</w:t>
      </w:r>
    </w:p>
    <w:p>
      <w:pPr>
        <w:spacing w:before="312" w:beforeLines="100" w:after="312" w:afterLines="100" w:line="240" w:lineRule="atLeast"/>
        <w:ind w:firstLine="420" w:firstLineChars="200"/>
        <w:jc w:val="left"/>
        <w:rPr>
          <w:rFonts w:ascii="微软雅黑" w:hAnsi="微软雅黑" w:eastAsia="微软雅黑"/>
          <w:b/>
          <w:sz w:val="24"/>
          <w:szCs w:val="28"/>
          <w:highlight w:val="yellow"/>
        </w:rPr>
      </w:pPr>
      <w:r>
        <w:rPr>
          <w:rFonts w:hint="eastAsia" w:ascii="微软雅黑" w:hAnsi="微软雅黑" w:eastAsia="微软雅黑" w:cstheme="minorBidi"/>
          <w:szCs w:val="22"/>
        </w:rPr>
        <w:t>座机：</w:t>
      </w:r>
    </w:p>
    <w:p>
      <w:pPr>
        <w:spacing w:before="156" w:beforeLines="50" w:after="156" w:afterLines="50"/>
        <w:jc w:val="left"/>
        <w:rPr>
          <w:rFonts w:ascii="微软雅黑" w:hAnsi="微软雅黑" w:eastAsia="微软雅黑"/>
          <w:b/>
          <w:color w:val="00B0F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00B0F0"/>
          <w:sz w:val="24"/>
          <w:szCs w:val="28"/>
        </w:rPr>
        <w:t>项目概况</w:t>
      </w: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1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项目名称：</w:t>
            </w:r>
          </w:p>
          <w:p>
            <w:pPr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项目推荐单位：</w:t>
            </w:r>
          </w:p>
          <w:p>
            <w:pPr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项目所在地：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2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napToGrid w:val="0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项目所处理污泥种类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（市政污泥、河道底泥、管网污泥）</w:t>
            </w:r>
            <w:r>
              <w:rPr>
                <w:rFonts w:hint="eastAsia" w:ascii="微软雅黑" w:hAnsi="微软雅黑" w:eastAsia="微软雅黑"/>
                <w:bCs/>
                <w:sz w:val="24"/>
                <w:szCs w:val="22"/>
              </w:rPr>
              <w:t>：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3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项目概况描述</w:t>
            </w:r>
            <w:r>
              <w:rPr>
                <w:rFonts w:hint="eastAsia" w:ascii="微软雅黑" w:hAnsi="微软雅黑" w:eastAsia="微软雅黑"/>
                <w:szCs w:val="22"/>
              </w:rPr>
              <w:t>300字以内。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（简要描述项目</w:t>
            </w:r>
            <w:r>
              <w:rPr>
                <w:rFonts w:hint="eastAsia" w:ascii="微软雅黑" w:hAnsi="微软雅黑" w:eastAsia="微软雅黑"/>
                <w:snapToGrid w:val="0"/>
                <w:color w:val="FF0000"/>
                <w:szCs w:val="21"/>
              </w:rPr>
              <w:t>所包含的内容、项目实施效果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等）</w:t>
            </w:r>
          </w:p>
          <w:p>
            <w:pPr>
              <w:spacing w:line="600" w:lineRule="exact"/>
              <w:ind w:firstLine="420" w:firstLineChars="200"/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4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市政污泥项目实施情况</w:t>
            </w:r>
          </w:p>
          <w:p>
            <w:pPr>
              <w:numPr>
                <w:ilvl w:val="0"/>
                <w:numId w:val="3"/>
              </w:num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项目处理规模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（吨/日，以含水率80%计，下同）</w:t>
            </w:r>
            <w:r>
              <w:rPr>
                <w:rFonts w:hint="eastAsia" w:ascii="微软雅黑" w:hAnsi="微软雅黑" w:eastAsia="微软雅黑"/>
                <w:szCs w:val="22"/>
              </w:rPr>
              <w:t>：</w:t>
            </w:r>
          </w:p>
          <w:p>
            <w:pPr>
              <w:numPr>
                <w:ilvl w:val="0"/>
                <w:numId w:val="3"/>
              </w:numPr>
              <w:rPr>
                <w:rFonts w:ascii="微软雅黑" w:hAnsi="微软雅黑" w:eastAsia="微软雅黑"/>
                <w:snapToGrid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2）处理前含水率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（%）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      ；处理后含水率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（%）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 xml:space="preserve">：  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3）有机物降解率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（%）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 xml:space="preserve">：  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4）污泥处理产物的最终处置方式： 园林绿化、土壤改良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5）项目运行成本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（元/吨）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 xml:space="preserve">：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5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河道底泥项目实施情况</w:t>
            </w:r>
          </w:p>
          <w:p>
            <w:p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1）河道底泥处理方式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（原位处理、异位处理）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</w:t>
            </w:r>
          </w:p>
          <w:p>
            <w:pPr>
              <w:rPr>
                <w:rFonts w:ascii="微软雅黑" w:hAnsi="微软雅黑" w:eastAsia="微软雅黑"/>
                <w:szCs w:val="22"/>
                <w:u w:val="single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2）涉及河道长度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（公里）</w:t>
            </w:r>
            <w:r>
              <w:rPr>
                <w:rFonts w:hint="eastAsia" w:ascii="微软雅黑" w:hAnsi="微软雅黑" w:eastAsia="微软雅黑"/>
                <w:szCs w:val="22"/>
              </w:rPr>
              <w:t>：</w:t>
            </w:r>
          </w:p>
          <w:p>
            <w:p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3）工程总投资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（万元）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6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管网污泥项目实施情况</w:t>
            </w:r>
          </w:p>
          <w:p>
            <w:pPr>
              <w:rPr>
                <w:rFonts w:ascii="微软雅黑" w:hAnsi="微软雅黑" w:eastAsia="微软雅黑"/>
                <w:szCs w:val="22"/>
                <w:u w:val="single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1）管网污泥处理所属环节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（污泥清通、泥水分离、管网污泥处理）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</w:t>
            </w:r>
          </w:p>
          <w:p>
            <w:pPr>
              <w:rPr>
                <w:rFonts w:ascii="微软雅黑" w:hAnsi="微软雅黑" w:eastAsia="微软雅黑"/>
                <w:szCs w:val="22"/>
                <w:u w:val="single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2）污泥清通方式：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3）处理前含水率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（%）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      ；处理后含水率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（%）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4）有机物降解率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（%）</w:t>
            </w: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：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napToGrid w:val="0"/>
                <w:szCs w:val="21"/>
              </w:rPr>
              <w:t>5）污泥处理产物的最终处置方式：</w:t>
            </w:r>
          </w:p>
          <w:p>
            <w:pPr>
              <w:rPr>
                <w:rFonts w:ascii="微软雅黑" w:hAnsi="微软雅黑" w:eastAsia="微软雅黑"/>
                <w:snapToGrid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6）项目运行成本</w:t>
            </w:r>
            <w:r>
              <w:rPr>
                <w:rFonts w:hint="eastAsia" w:ascii="微软雅黑" w:hAnsi="微软雅黑" w:eastAsia="微软雅黑"/>
                <w:color w:val="0000FF"/>
                <w:szCs w:val="22"/>
              </w:rPr>
              <w:t>（万元）</w:t>
            </w:r>
            <w:r>
              <w:rPr>
                <w:rFonts w:hint="eastAsia" w:ascii="微软雅黑" w:hAnsi="微软雅黑" w:eastAsia="微软雅黑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7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项目技术工艺/解决方案概述</w:t>
            </w:r>
          </w:p>
          <w:p>
            <w:pPr>
              <w:numPr>
                <w:ilvl w:val="0"/>
                <w:numId w:val="4"/>
              </w:numPr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  <w:szCs w:val="21"/>
              </w:rPr>
              <w:t>★★</w:t>
            </w:r>
            <w:r>
              <w:rPr>
                <w:rFonts w:hint="eastAsia" w:ascii="微软雅黑" w:hAnsi="微软雅黑" w:eastAsia="微软雅黑" w:cs="华文中宋"/>
                <w:szCs w:val="21"/>
              </w:rPr>
              <w:t>技术工艺/解决方案名称及原理</w:t>
            </w:r>
          </w:p>
          <w:p>
            <w:pPr>
              <w:rPr>
                <w:rFonts w:ascii="微软雅黑" w:hAnsi="微软雅黑" w:eastAsia="微软雅黑" w:cs="华文中宋"/>
                <w:szCs w:val="21"/>
              </w:rPr>
            </w:pPr>
          </w:p>
          <w:p>
            <w:pPr>
              <w:rPr>
                <w:rFonts w:ascii="微软雅黑" w:hAnsi="微软雅黑" w:eastAsia="微软雅黑" w:cs="华文中宋"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华文中宋"/>
                <w:color w:val="C00000"/>
                <w:szCs w:val="21"/>
              </w:rPr>
              <w:t>★★</w:t>
            </w:r>
            <w:r>
              <w:rPr>
                <w:rFonts w:hint="eastAsia" w:ascii="微软雅黑" w:hAnsi="微软雅黑" w:eastAsia="微软雅黑" w:cs="华文中宋"/>
                <w:szCs w:val="21"/>
              </w:rPr>
              <w:t>技术工艺/解决方案适用范围</w:t>
            </w:r>
          </w:p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华文中宋"/>
                <w:color w:val="C00000"/>
                <w:szCs w:val="21"/>
              </w:rPr>
              <w:t>★★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技术工艺/</w:t>
            </w:r>
            <w:r>
              <w:rPr>
                <w:rFonts w:hint="eastAsia" w:ascii="微软雅黑" w:hAnsi="微软雅黑" w:eastAsia="微软雅黑" w:cs="华文中宋"/>
                <w:szCs w:val="21"/>
              </w:rPr>
              <w:t>解决方案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特点及优势（</w:t>
            </w:r>
            <w:r>
              <w:rPr>
                <w:rFonts w:hint="eastAsia" w:ascii="微软雅黑" w:hAnsi="微软雅黑" w:eastAsia="微软雅黑"/>
                <w:szCs w:val="21"/>
              </w:rPr>
              <w:t>300字以内，请尽量用</w:t>
            </w: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>数据指标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  <w:p>
            <w:pPr>
              <w:ind w:firstLine="480"/>
              <w:rPr>
                <w:rFonts w:ascii="微软雅黑" w:hAnsi="微软雅黑" w:eastAsia="微软雅黑" w:cs="Arial"/>
                <w:szCs w:val="21"/>
              </w:rPr>
            </w:pPr>
          </w:p>
          <w:p>
            <w:pPr>
              <w:ind w:firstLine="480"/>
              <w:rPr>
                <w:rFonts w:ascii="微软雅黑" w:hAnsi="微软雅黑" w:eastAsia="微软雅黑" w:cs="Arial"/>
                <w:szCs w:val="21"/>
              </w:rPr>
            </w:pPr>
          </w:p>
          <w:p>
            <w:pPr>
              <w:ind w:firstLine="480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8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工艺流程图/技术解决方案示意图</w:t>
            </w:r>
          </w:p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szCs w:val="22"/>
                <w:highlight w:val="yellow"/>
              </w:rPr>
              <w:t>详细图示，请单独以jpg/png格式发送图片（1024*768）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9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污泥处置地照片</w:t>
            </w:r>
          </w:p>
          <w:p>
            <w:pPr>
              <w:rPr>
                <w:rFonts w:ascii="微软雅黑" w:hAnsi="微软雅黑" w:eastAsia="微软雅黑"/>
                <w:szCs w:val="22"/>
                <w:highlight w:val="yellow"/>
              </w:rPr>
            </w:pPr>
            <w:r>
              <w:rPr>
                <w:rFonts w:hint="eastAsia" w:ascii="微软雅黑" w:hAnsi="微软雅黑" w:eastAsia="微软雅黑"/>
                <w:szCs w:val="22"/>
                <w:highlight w:val="yellow"/>
              </w:rPr>
              <w:t>详细图示，请单独以jpg/png格式发送图片（1024*768）</w:t>
            </w:r>
          </w:p>
          <w:p>
            <w:pPr>
              <w:rPr>
                <w:rFonts w:ascii="微软雅黑" w:hAnsi="微软雅黑" w:eastAsia="微软雅黑"/>
                <w:szCs w:val="22"/>
                <w:highlight w:val="yellow"/>
              </w:rPr>
            </w:pPr>
          </w:p>
          <w:p>
            <w:pPr>
              <w:rPr>
                <w:rFonts w:ascii="微软雅黑" w:hAnsi="微软雅黑" w:eastAsia="微软雅黑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10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 w:cs="华文中宋"/>
                <w:color w:val="C00000"/>
              </w:rPr>
              <w:t>★★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环境效益</w:t>
            </w:r>
            <w:r>
              <w:rPr>
                <w:rFonts w:hint="eastAsia" w:ascii="微软雅黑" w:hAnsi="微软雅黑" w:eastAsia="微软雅黑" w:cs="华文中宋"/>
                <w:b/>
                <w:bCs/>
              </w:rPr>
              <w:t>及</w:t>
            </w: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社会效益</w:t>
            </w:r>
            <w:r>
              <w:rPr>
                <w:rFonts w:hint="eastAsia" w:ascii="微软雅黑" w:hAnsi="微软雅黑" w:eastAsia="微软雅黑"/>
                <w:szCs w:val="22"/>
              </w:rPr>
              <w:t>（300字以内）</w:t>
            </w:r>
          </w:p>
          <w:p>
            <w:pPr>
              <w:ind w:firstLine="480"/>
              <w:rPr>
                <w:rFonts w:cs="Arial"/>
              </w:rPr>
            </w:pPr>
          </w:p>
          <w:p>
            <w:pPr>
              <w:ind w:firstLine="480"/>
              <w:rPr>
                <w:rFonts w:cs="Arial"/>
              </w:rPr>
            </w:pPr>
          </w:p>
          <w:p>
            <w:pPr>
              <w:ind w:firstLine="480"/>
              <w:rPr>
                <w:rFonts w:cs="Arial"/>
              </w:rPr>
            </w:pPr>
          </w:p>
          <w:p>
            <w:pPr>
              <w:ind w:firstLine="480"/>
              <w:rPr>
                <w:rFonts w:cs="Arial"/>
              </w:rPr>
            </w:pPr>
          </w:p>
          <w:p>
            <w:pPr>
              <w:ind w:firstLine="480"/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11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ind w:firstLine="240" w:firstLineChars="100"/>
              <w:rPr>
                <w:rFonts w:ascii="微软雅黑" w:hAnsi="微软雅黑" w:eastAsia="微软雅黑"/>
                <w:snapToGrid w:val="0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2"/>
              </w:rPr>
              <w:t>项目亮点介绍</w:t>
            </w:r>
            <w:r>
              <w:rPr>
                <w:rFonts w:hint="eastAsia" w:ascii="微软雅黑" w:hAnsi="微软雅黑" w:eastAsia="微软雅黑"/>
                <w:snapToGrid w:val="0"/>
                <w:color w:val="0000FF"/>
                <w:szCs w:val="21"/>
              </w:rPr>
              <w:t>（多方评价+获得荣誉）</w:t>
            </w:r>
          </w:p>
          <w:p>
            <w:pPr>
              <w:ind w:firstLine="420" w:firstLineChars="200"/>
              <w:rPr>
                <w:rFonts w:ascii="微软雅黑" w:hAnsi="微软雅黑" w:eastAsia="微软雅黑"/>
                <w:snapToGrid w:val="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snapToGrid w:val="0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color w:val="FF0000"/>
          <w:sz w:val="28"/>
          <w:szCs w:val="28"/>
        </w:rPr>
      </w:pPr>
    </w:p>
    <w:p>
      <w:pPr>
        <w:jc w:val="right"/>
        <w:rPr>
          <w:rFonts w:ascii="微软雅黑" w:hAnsi="微软雅黑" w:eastAsia="微软雅黑"/>
          <w:b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资料提供截止日期：2019年9月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15</w:t>
      </w: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日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联系方式：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E20环境平台金融战略中心  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陈雪峰</w:t>
      </w:r>
      <w:r>
        <w:rPr>
          <w:rFonts w:hint="eastAsia" w:ascii="微软雅黑" w:hAnsi="微软雅黑" w:eastAsia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13117511012</w:t>
      </w:r>
      <w:r>
        <w:rPr>
          <w:rFonts w:hint="eastAsia" w:ascii="微软雅黑" w:hAnsi="微软雅黑" w:eastAsia="微软雅黑"/>
          <w:sz w:val="24"/>
          <w:szCs w:val="24"/>
        </w:rPr>
        <w:t xml:space="preserve">    邮箱：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cxf</w:t>
      </w:r>
      <w:r>
        <w:rPr>
          <w:rFonts w:hint="eastAsia" w:ascii="微软雅黑" w:hAnsi="微软雅黑" w:eastAsia="微软雅黑"/>
          <w:sz w:val="24"/>
          <w:szCs w:val="24"/>
        </w:rPr>
        <w:t>@e20.com.cn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-69850</wp:posOffset>
          </wp:positionV>
          <wp:extent cx="1386205" cy="360045"/>
          <wp:effectExtent l="0" t="0" r="10795" b="825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62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C0E14"/>
    <w:multiLevelType w:val="singleLevel"/>
    <w:tmpl w:val="8FAC0E14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B652F564"/>
    <w:multiLevelType w:val="singleLevel"/>
    <w:tmpl w:val="B652F5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39C069C"/>
    <w:multiLevelType w:val="singleLevel"/>
    <w:tmpl w:val="C39C069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DD2A5565"/>
    <w:multiLevelType w:val="singleLevel"/>
    <w:tmpl w:val="DD2A55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A53"/>
    <w:rsid w:val="000A1B9D"/>
    <w:rsid w:val="000A1C5C"/>
    <w:rsid w:val="0023554C"/>
    <w:rsid w:val="002B529A"/>
    <w:rsid w:val="002C3707"/>
    <w:rsid w:val="002E003F"/>
    <w:rsid w:val="00322E04"/>
    <w:rsid w:val="003D3468"/>
    <w:rsid w:val="003F4DDD"/>
    <w:rsid w:val="00400D50"/>
    <w:rsid w:val="004926DF"/>
    <w:rsid w:val="004B7BE8"/>
    <w:rsid w:val="005E43A1"/>
    <w:rsid w:val="00670320"/>
    <w:rsid w:val="006963C5"/>
    <w:rsid w:val="006A3857"/>
    <w:rsid w:val="007A5913"/>
    <w:rsid w:val="00806C60"/>
    <w:rsid w:val="00850E91"/>
    <w:rsid w:val="00852C25"/>
    <w:rsid w:val="008F6A53"/>
    <w:rsid w:val="009F07AC"/>
    <w:rsid w:val="00A81B21"/>
    <w:rsid w:val="00C86A8C"/>
    <w:rsid w:val="00D643AA"/>
    <w:rsid w:val="00DF5657"/>
    <w:rsid w:val="00E14AC1"/>
    <w:rsid w:val="00E31D1E"/>
    <w:rsid w:val="00EE2BEA"/>
    <w:rsid w:val="00F33A85"/>
    <w:rsid w:val="00F86BB3"/>
    <w:rsid w:val="02004348"/>
    <w:rsid w:val="06C27673"/>
    <w:rsid w:val="08C22986"/>
    <w:rsid w:val="0D07208B"/>
    <w:rsid w:val="128536B1"/>
    <w:rsid w:val="1ABE014B"/>
    <w:rsid w:val="1EC03A48"/>
    <w:rsid w:val="20BA6395"/>
    <w:rsid w:val="27B2520F"/>
    <w:rsid w:val="2B3D1A45"/>
    <w:rsid w:val="345F1B17"/>
    <w:rsid w:val="39630F04"/>
    <w:rsid w:val="3ADF093F"/>
    <w:rsid w:val="47E0395E"/>
    <w:rsid w:val="492C12B3"/>
    <w:rsid w:val="4DE358F3"/>
    <w:rsid w:val="55ED0978"/>
    <w:rsid w:val="565C36A6"/>
    <w:rsid w:val="57786569"/>
    <w:rsid w:val="59D85E26"/>
    <w:rsid w:val="5DF63252"/>
    <w:rsid w:val="63041BC5"/>
    <w:rsid w:val="6E9A0620"/>
    <w:rsid w:val="704951E2"/>
    <w:rsid w:val="72EC0EE0"/>
    <w:rsid w:val="759B3729"/>
    <w:rsid w:val="79CA70D0"/>
    <w:rsid w:val="7A211EE1"/>
    <w:rsid w:val="7AEE5924"/>
    <w:rsid w:val="7D4E2298"/>
    <w:rsid w:val="7E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9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文档结构图 字符"/>
    <w:basedOn w:val="7"/>
    <w:link w:val="2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1031</Characters>
  <Lines>8</Lines>
  <Paragraphs>2</Paragraphs>
  <TotalTime>19</TotalTime>
  <ScaleCrop>false</ScaleCrop>
  <LinksUpToDate>false</LinksUpToDate>
  <CharactersWithSpaces>1209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张晓娟</dc:creator>
  <cp:lastModifiedBy>李艳梅</cp:lastModifiedBy>
  <dcterms:modified xsi:type="dcterms:W3CDTF">2019-09-03T08:36:41Z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